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3C957" w14:textId="77777777" w:rsidR="007D61CA" w:rsidRDefault="007D61CA" w:rsidP="007D61CA">
      <w:pPr>
        <w:pStyle w:val="TESTO"/>
        <w:jc w:val="center"/>
        <w:rPr>
          <w:b/>
        </w:rPr>
      </w:pPr>
      <w:r>
        <w:rPr>
          <w:rFonts w:cs="Tahoma"/>
          <w:b/>
          <w:color w:val="000000"/>
          <w:szCs w:val="24"/>
        </w:rPr>
        <w:t>La</w:t>
      </w:r>
      <w:r>
        <w:rPr>
          <w:b/>
        </w:rPr>
        <w:t xml:space="preserve"> Giunta Comunale</w:t>
      </w:r>
    </w:p>
    <w:p w14:paraId="656FEDB0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</w:p>
    <w:p w14:paraId="11FE6609" w14:textId="77777777" w:rsidR="007D61CA" w:rsidRPr="00570F6D" w:rsidRDefault="007D61CA" w:rsidP="007D61CA">
      <w:pPr>
        <w:jc w:val="both"/>
        <w:rPr>
          <w:rFonts w:ascii="Arial" w:hAnsi="Arial" w:cs="Arial"/>
          <w:sz w:val="20"/>
          <w:szCs w:val="20"/>
        </w:rPr>
      </w:pPr>
      <w:r w:rsidRPr="00570F6D">
        <w:rPr>
          <w:rFonts w:ascii="Arial" w:hAnsi="Arial" w:cs="Arial"/>
          <w:sz w:val="20"/>
          <w:szCs w:val="20"/>
        </w:rPr>
        <w:t xml:space="preserve">Premesso che con deliberazione di Consiglio Comunale n. </w:t>
      </w:r>
      <w:proofErr w:type="gramStart"/>
      <w:r w:rsidRPr="00570F6D">
        <w:rPr>
          <w:rFonts w:ascii="Arial" w:hAnsi="Arial" w:cs="Arial"/>
          <w:sz w:val="20"/>
          <w:szCs w:val="20"/>
        </w:rPr>
        <w:t>3</w:t>
      </w:r>
      <w:r w:rsidRPr="00570F6D">
        <w:rPr>
          <w:rFonts w:ascii="Arial" w:hAnsi="Arial" w:cs="Arial"/>
          <w:b/>
          <w:color w:val="000000"/>
          <w:sz w:val="20"/>
          <w:szCs w:val="20"/>
        </w:rPr>
        <w:t>5</w:t>
      </w:r>
      <w:r w:rsidRPr="00570F6D">
        <w:rPr>
          <w:rFonts w:ascii="Arial" w:hAnsi="Arial" w:cs="Arial"/>
          <w:sz w:val="20"/>
          <w:szCs w:val="20"/>
        </w:rPr>
        <w:t xml:space="preserve">  in</w:t>
      </w:r>
      <w:proofErr w:type="gramEnd"/>
      <w:r w:rsidRPr="00570F6D">
        <w:rPr>
          <w:rFonts w:ascii="Arial" w:hAnsi="Arial" w:cs="Arial"/>
          <w:sz w:val="20"/>
          <w:szCs w:val="20"/>
        </w:rPr>
        <w:t xml:space="preserve"> data </w:t>
      </w:r>
      <w:r w:rsidRPr="00570F6D">
        <w:rPr>
          <w:rFonts w:ascii="Arial" w:hAnsi="Arial" w:cs="Arial"/>
          <w:b/>
          <w:color w:val="000000"/>
          <w:sz w:val="20"/>
          <w:szCs w:val="20"/>
        </w:rPr>
        <w:t>23</w:t>
      </w:r>
      <w:r w:rsidRPr="00570F6D">
        <w:rPr>
          <w:rFonts w:ascii="Arial" w:hAnsi="Arial" w:cs="Arial"/>
          <w:sz w:val="20"/>
          <w:szCs w:val="20"/>
        </w:rPr>
        <w:t>/12/201</w:t>
      </w:r>
      <w:r w:rsidRPr="00570F6D">
        <w:rPr>
          <w:rFonts w:ascii="Arial" w:hAnsi="Arial" w:cs="Arial"/>
          <w:b/>
          <w:color w:val="000000"/>
          <w:sz w:val="20"/>
          <w:szCs w:val="20"/>
        </w:rPr>
        <w:t>9</w:t>
      </w:r>
      <w:r w:rsidRPr="00570F6D">
        <w:rPr>
          <w:rFonts w:ascii="Arial" w:hAnsi="Arial" w:cs="Arial"/>
          <w:sz w:val="20"/>
          <w:szCs w:val="20"/>
        </w:rPr>
        <w:t>, esecutiva ai sensi di legge, è stato approvato il bilancio di previsione finanziario 20</w:t>
      </w:r>
      <w:r w:rsidR="00211A3A" w:rsidRPr="00570F6D">
        <w:rPr>
          <w:rFonts w:ascii="Arial" w:hAnsi="Arial" w:cs="Arial"/>
          <w:sz w:val="20"/>
          <w:szCs w:val="20"/>
        </w:rPr>
        <w:t>20</w:t>
      </w:r>
      <w:r w:rsidRPr="00570F6D">
        <w:rPr>
          <w:rFonts w:ascii="Arial" w:hAnsi="Arial" w:cs="Arial"/>
          <w:sz w:val="20"/>
          <w:szCs w:val="20"/>
        </w:rPr>
        <w:t>/202</w:t>
      </w:r>
      <w:r w:rsidR="00211A3A" w:rsidRPr="00570F6D">
        <w:rPr>
          <w:rFonts w:ascii="Arial" w:hAnsi="Arial" w:cs="Arial"/>
          <w:sz w:val="20"/>
          <w:szCs w:val="20"/>
        </w:rPr>
        <w:t>2</w:t>
      </w:r>
      <w:r w:rsidRPr="00570F6D">
        <w:rPr>
          <w:rFonts w:ascii="Arial" w:hAnsi="Arial" w:cs="Arial"/>
          <w:sz w:val="20"/>
          <w:szCs w:val="20"/>
        </w:rPr>
        <w:t xml:space="preserve"> redatto in termini di competenza e di cassa secondo lo schema di cui al </w:t>
      </w:r>
      <w:proofErr w:type="spellStart"/>
      <w:r w:rsidRPr="00570F6D">
        <w:rPr>
          <w:rFonts w:ascii="Arial" w:hAnsi="Arial" w:cs="Arial"/>
          <w:sz w:val="20"/>
          <w:szCs w:val="20"/>
        </w:rPr>
        <w:t>d.Lgs.</w:t>
      </w:r>
      <w:proofErr w:type="spellEnd"/>
      <w:r w:rsidRPr="00570F6D">
        <w:rPr>
          <w:rFonts w:ascii="Arial" w:hAnsi="Arial" w:cs="Arial"/>
          <w:sz w:val="20"/>
          <w:szCs w:val="20"/>
        </w:rPr>
        <w:t xml:space="preserve"> n. 118/2011, unitamente all’aggiornamento del Documento Unico di Programmazione (DUP) per lo stesso periodo;</w:t>
      </w:r>
    </w:p>
    <w:p w14:paraId="560EC5C9" w14:textId="0FC6A390" w:rsidR="00F1276E" w:rsidRPr="00570F6D" w:rsidRDefault="00F1276E" w:rsidP="007D61CA">
      <w:pPr>
        <w:jc w:val="both"/>
        <w:rPr>
          <w:rFonts w:ascii="Arial" w:hAnsi="Arial" w:cs="Arial"/>
          <w:sz w:val="20"/>
          <w:szCs w:val="20"/>
        </w:rPr>
      </w:pPr>
    </w:p>
    <w:p w14:paraId="20E8575C" w14:textId="2F24C376" w:rsidR="00570F6D" w:rsidRPr="00570F6D" w:rsidRDefault="00570F6D" w:rsidP="00570F6D">
      <w:pPr>
        <w:shd w:val="clear" w:color="auto" w:fill="FFFFFF"/>
        <w:spacing w:line="390" w:lineRule="atLeast"/>
        <w:jc w:val="both"/>
        <w:rPr>
          <w:rFonts w:ascii="Arial" w:hAnsi="Arial" w:cs="Arial"/>
          <w:color w:val="222222"/>
          <w:sz w:val="20"/>
          <w:szCs w:val="20"/>
        </w:rPr>
      </w:pPr>
      <w:r w:rsidRPr="00570F6D">
        <w:rPr>
          <w:rFonts w:ascii="Arial" w:hAnsi="Arial" w:cs="Arial"/>
          <w:color w:val="222222"/>
          <w:sz w:val="20"/>
          <w:szCs w:val="20"/>
        </w:rPr>
        <w:t>Nella seduta straordinaria dello scorso 15 aprile, la Conferenza Stato-Città ha approvato gli schemi di riparto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  <w:r w:rsidRPr="00570F6D">
        <w:rPr>
          <w:rFonts w:ascii="Arial" w:hAnsi="Arial" w:cs="Arial"/>
          <w:color w:val="222222"/>
          <w:sz w:val="20"/>
          <w:szCs w:val="20"/>
        </w:rPr>
        <w:t>delle risorse stanziate dagli artt</w:t>
      </w:r>
      <w:r w:rsidRPr="00570F6D">
        <w:rPr>
          <w:rFonts w:ascii="Arial" w:hAnsi="Arial" w:cs="Arial"/>
          <w:color w:val="000000" w:themeColor="text1"/>
          <w:sz w:val="20"/>
          <w:szCs w:val="20"/>
        </w:rPr>
        <w:t>. </w:t>
      </w:r>
      <w:hyperlink r:id="rId5" w:anchor="art" w:history="1">
        <w:r w:rsidRPr="00570F6D">
          <w:rPr>
            <w:rFonts w:ascii="Arial" w:hAnsi="Arial" w:cs="Arial"/>
            <w:color w:val="000000" w:themeColor="text1"/>
            <w:sz w:val="20"/>
            <w:szCs w:val="20"/>
            <w14:textOutline w14:w="9525" w14:cap="flat" w14:cmpd="sng" w14:algn="ctr">
              <w14:noFill/>
              <w14:prstDash w14:val="solid"/>
              <w14:round/>
            </w14:textOutline>
          </w:rPr>
          <w:t>114</w:t>
        </w:r>
      </w:hyperlink>
      <w:r w:rsidRPr="00570F6D">
        <w:rPr>
          <w:rFonts w:ascii="Arial" w:hAnsi="Arial" w:cs="Arial"/>
          <w:color w:val="000000" w:themeColor="text1"/>
          <w:sz w:val="20"/>
          <w:szCs w:val="20"/>
          <w14:textOutline w14:w="9525" w14:cap="flat" w14:cmpd="sng" w14:algn="ctr">
            <w14:noFill/>
            <w14:prstDash w14:val="solid"/>
            <w14:round/>
          </w14:textOutline>
        </w:rPr>
        <w:t> e </w:t>
      </w:r>
      <w:hyperlink r:id="rId6" w:anchor="art" w:history="1">
        <w:r w:rsidRPr="00570F6D">
          <w:rPr>
            <w:rFonts w:ascii="Arial" w:hAnsi="Arial" w:cs="Arial"/>
            <w:color w:val="000000" w:themeColor="text1"/>
            <w:sz w:val="20"/>
            <w:szCs w:val="20"/>
            <w14:textOutline w14:w="9525" w14:cap="flat" w14:cmpd="sng" w14:algn="ctr">
              <w14:noFill/>
              <w14:prstDash w14:val="solid"/>
              <w14:round/>
            </w14:textOutline>
          </w:rPr>
          <w:t>115</w:t>
        </w:r>
      </w:hyperlink>
      <w:r w:rsidRPr="00570F6D">
        <w:rPr>
          <w:rFonts w:ascii="Arial" w:hAnsi="Arial" w:cs="Arial"/>
          <w:color w:val="000000" w:themeColor="text1"/>
          <w:sz w:val="20"/>
          <w:szCs w:val="20"/>
          <w14:textOutline w14:w="9525" w14:cap="flat" w14:cmpd="sng" w14:algn="ctr">
            <w14:noFill/>
            <w14:prstDash w14:val="solid"/>
            <w14:round/>
          </w14:textOutline>
        </w:rPr>
        <w:t> del </w:t>
      </w:r>
      <w:hyperlink r:id="rId7" w:history="1">
        <w:r w:rsidRPr="00570F6D">
          <w:rPr>
            <w:rFonts w:ascii="Arial" w:hAnsi="Arial" w:cs="Arial"/>
            <w:color w:val="000000" w:themeColor="text1"/>
            <w:sz w:val="20"/>
            <w:szCs w:val="20"/>
            <w14:textOutline w14:w="9525" w14:cap="flat" w14:cmpd="sng" w14:algn="ctr">
              <w14:noFill/>
              <w14:prstDash w14:val="solid"/>
              <w14:round/>
            </w14:textOutline>
          </w:rPr>
          <w:t>dl 18/2020</w:t>
        </w:r>
      </w:hyperlink>
      <w:r w:rsidRPr="00570F6D">
        <w:rPr>
          <w:rFonts w:ascii="Arial" w:hAnsi="Arial" w:cs="Arial"/>
          <w:color w:val="222222"/>
          <w:sz w:val="20"/>
          <w:szCs w:val="20"/>
        </w:rPr>
        <w:t> (Cura Italia), destinate rispettivamente alla sanificazione di uffici, ambienti e mezzi degli enti locali (70 milioni di euro complessivi di cui 65 ai Comuni e 5 alle Province e alle Città Metropolitane) e all’integrazione dei compensi da lavoro straordinario delle polizie locali (10 milioni di euro complessivi).</w:t>
      </w:r>
    </w:p>
    <w:p w14:paraId="0C6C3666" w14:textId="29BC33A9" w:rsidR="00570F6D" w:rsidRPr="00570F6D" w:rsidRDefault="00570F6D" w:rsidP="00570F6D">
      <w:pPr>
        <w:shd w:val="clear" w:color="auto" w:fill="FFFFFF"/>
        <w:spacing w:line="390" w:lineRule="atLeast"/>
        <w:jc w:val="both"/>
        <w:rPr>
          <w:rFonts w:ascii="Arial" w:hAnsi="Arial" w:cs="Arial"/>
          <w:color w:val="222222"/>
          <w:sz w:val="20"/>
          <w:szCs w:val="20"/>
        </w:rPr>
      </w:pPr>
    </w:p>
    <w:p w14:paraId="2E6F8F98" w14:textId="77777777" w:rsidR="00570F6D" w:rsidRPr="00570F6D" w:rsidRDefault="00570F6D" w:rsidP="00570F6D">
      <w:pPr>
        <w:shd w:val="clear" w:color="auto" w:fill="FFFFFF"/>
        <w:spacing w:line="390" w:lineRule="atLeast"/>
        <w:jc w:val="both"/>
        <w:rPr>
          <w:rFonts w:ascii="Arial" w:hAnsi="Arial" w:cs="Arial"/>
          <w:color w:val="222222"/>
          <w:sz w:val="20"/>
          <w:szCs w:val="20"/>
        </w:rPr>
      </w:pPr>
      <w:r w:rsidRPr="00570F6D">
        <w:rPr>
          <w:rFonts w:ascii="Arial" w:hAnsi="Arial" w:cs="Arial"/>
          <w:color w:val="222222"/>
          <w:sz w:val="20"/>
          <w:szCs w:val="20"/>
        </w:rPr>
        <w:t>La metodologia di riparto ha tenuto conto, in entrambi i casi, delle variabili relative alla “popolazione residente” e al “n. di contagi”.</w:t>
      </w:r>
    </w:p>
    <w:p w14:paraId="08E477F7" w14:textId="77777777" w:rsidR="00570F6D" w:rsidRPr="00570F6D" w:rsidRDefault="00570F6D" w:rsidP="00570F6D">
      <w:pPr>
        <w:shd w:val="clear" w:color="auto" w:fill="FFFFFF"/>
        <w:spacing w:line="390" w:lineRule="atLeast"/>
        <w:jc w:val="both"/>
        <w:rPr>
          <w:rFonts w:ascii="Arial" w:hAnsi="Arial" w:cs="Arial"/>
          <w:color w:val="222222"/>
          <w:sz w:val="20"/>
          <w:szCs w:val="20"/>
        </w:rPr>
      </w:pPr>
      <w:r w:rsidRPr="00570F6D">
        <w:rPr>
          <w:rFonts w:ascii="Arial" w:hAnsi="Arial" w:cs="Arial"/>
          <w:color w:val="222222"/>
          <w:sz w:val="20"/>
          <w:szCs w:val="20"/>
        </w:rPr>
        <w:t>Con specifico riferimento al riparto di cui all’art. 114, è stata inoltre recepita la proposta dell’ANCI di prevedere una soglia minima per ciascun comune di importo non inferiore a 1.000 euro, al fine di evitare attribuzioni di entità irrisoria.</w:t>
      </w:r>
    </w:p>
    <w:p w14:paraId="3E71D599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</w:p>
    <w:p w14:paraId="301C29FF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Verificata la necessità di apportare variazioni al bilancio previsione derivanti dall’esigenza di realizzare gli interventi programmati e di far fronte alle sopravvenute esigenze di </w:t>
      </w:r>
      <w:proofErr w:type="gramStart"/>
      <w:r>
        <w:rPr>
          <w:rFonts w:ascii="Arial" w:hAnsi="Arial" w:cs="Arial"/>
          <w:sz w:val="20"/>
          <w:szCs w:val="20"/>
        </w:rPr>
        <w:t>spesa ;</w:t>
      </w:r>
      <w:proofErr w:type="gramEnd"/>
    </w:p>
    <w:p w14:paraId="4383E631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</w:p>
    <w:p w14:paraId="3622B560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prospetto riportato in allegato sotto la lettera a) contenente l’elenco delle </w:t>
      </w:r>
      <w:proofErr w:type="gramStart"/>
      <w:r>
        <w:rPr>
          <w:rFonts w:ascii="Arial" w:hAnsi="Arial" w:cs="Arial"/>
          <w:sz w:val="20"/>
          <w:szCs w:val="20"/>
        </w:rPr>
        <w:t xml:space="preserve">variazioni 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 w:cs="Arial"/>
          <w:sz w:val="20"/>
          <w:szCs w:val="20"/>
        </w:rPr>
        <w:t>di</w:t>
      </w:r>
      <w:proofErr w:type="gramEnd"/>
      <w:r>
        <w:rPr>
          <w:rFonts w:ascii="Arial" w:hAnsi="Arial" w:cs="Arial"/>
          <w:sz w:val="20"/>
          <w:szCs w:val="20"/>
        </w:rPr>
        <w:t xml:space="preserve"> competenza e  di cassa da apportare al bilancio di previsione finanziario 20</w:t>
      </w:r>
      <w:r w:rsidR="00211A3A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/202</w:t>
      </w:r>
      <w:r w:rsidR="00211A3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– Esercizio 20</w:t>
      </w:r>
      <w:r w:rsidR="00211A3A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, del quale si riportano le risultanze finali:</w:t>
      </w:r>
    </w:p>
    <w:p w14:paraId="6C94F9F7" w14:textId="77777777" w:rsidR="007D61CA" w:rsidRDefault="007D61CA" w:rsidP="007D61C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ANNO 2019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0"/>
        <w:gridCol w:w="623"/>
        <w:gridCol w:w="2298"/>
        <w:gridCol w:w="2177"/>
      </w:tblGrid>
      <w:tr w:rsidR="007D61CA" w14:paraId="270201CD" w14:textId="77777777" w:rsidTr="007D61CA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466D9F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ENTRATA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E82E06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3A7E09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</w:tr>
      <w:tr w:rsidR="007D61CA" w14:paraId="287E7513" w14:textId="77777777" w:rsidTr="007D61CA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E9D8" w14:textId="77777777" w:rsidR="007D61CA" w:rsidRDefault="007D61CA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CB2D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D50AB" w14:textId="4C03D575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8C895D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D61CA" w14:paraId="6BCC6008" w14:textId="77777777" w:rsidTr="007D61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E2DE6" w14:textId="77777777" w:rsidR="007D61CA" w:rsidRDefault="007D61C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39BC9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2F95" w14:textId="1196D896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CA3E7E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D61CA" w14:paraId="7B7542F0" w14:textId="77777777" w:rsidTr="007D61CA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D0147" w14:textId="77777777" w:rsidR="007D61CA" w:rsidRDefault="007D61CA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C9B3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24A7C1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454C7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-------------------</w:t>
            </w:r>
          </w:p>
        </w:tc>
      </w:tr>
      <w:tr w:rsidR="007D61CA" w14:paraId="1E25D4AF" w14:textId="77777777" w:rsidTr="007D61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5D9B6" w14:textId="77777777" w:rsidR="007D61CA" w:rsidRDefault="007D61C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E03F0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7A12D0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07C85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-------------------</w:t>
            </w:r>
          </w:p>
        </w:tc>
      </w:tr>
      <w:tr w:rsidR="007D61CA" w14:paraId="7CF87EEF" w14:textId="77777777" w:rsidTr="007D61CA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5CF34D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SPESA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EE8D85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B7D1CD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</w:tr>
      <w:tr w:rsidR="007D61CA" w14:paraId="7E9593BC" w14:textId="77777777" w:rsidTr="007D61CA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A9261" w14:textId="77777777" w:rsidR="007D61CA" w:rsidRDefault="007D61CA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814F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F38706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FA40F" w14:textId="2AE9DD62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</w:tr>
      <w:tr w:rsidR="007D61CA" w14:paraId="1A792AD9" w14:textId="77777777" w:rsidTr="007D61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8DA8" w14:textId="77777777" w:rsidR="007D61CA" w:rsidRDefault="007D61C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43CE0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9024DC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CA56" w14:textId="4DCFF5D4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</w:tr>
      <w:tr w:rsidR="007D61CA" w14:paraId="2E4E2FC2" w14:textId="77777777" w:rsidTr="007D61CA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85FF" w14:textId="77777777" w:rsidR="007D61CA" w:rsidRDefault="007D61CA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A6632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6ED9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7C36C6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D61CA" w14:paraId="396866C9" w14:textId="77777777" w:rsidTr="007D61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AF9A0" w14:textId="77777777" w:rsidR="007D61CA" w:rsidRDefault="007D61C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21ED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D60C7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76B0C5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D61CA" w14:paraId="28D5CCFD" w14:textId="77777777" w:rsidTr="007D61CA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F21A" w14:textId="77777777" w:rsidR="007D61CA" w:rsidRDefault="007D61CA">
            <w:pPr>
              <w:spacing w:line="300" w:lineRule="atLeast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TOTALE A PAREGGIO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BB6B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9C7F8" w14:textId="2D8D521C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5599" w14:textId="37304919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</w:tr>
      <w:tr w:rsidR="007D61CA" w14:paraId="01D092B5" w14:textId="77777777" w:rsidTr="007D61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C9DF" w14:textId="77777777" w:rsidR="007D61CA" w:rsidRDefault="007D61CA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E4030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1328D" w14:textId="1061EF64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D1F24" w14:textId="1A40A9B6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</w:tr>
    </w:tbl>
    <w:p w14:paraId="3998C926" w14:textId="77777777" w:rsidR="007D61CA" w:rsidRDefault="007D61CA" w:rsidP="007D61CA">
      <w:pPr>
        <w:spacing w:line="300" w:lineRule="atLeast"/>
        <w:ind w:left="360"/>
        <w:jc w:val="both"/>
        <w:rPr>
          <w:rFonts w:ascii="Arial" w:hAnsi="Arial" w:cs="Arial"/>
          <w:sz w:val="20"/>
          <w:szCs w:val="20"/>
          <w:lang w:eastAsia="en-US"/>
        </w:rPr>
      </w:pPr>
    </w:p>
    <w:p w14:paraId="356994C5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</w:p>
    <w:p w14:paraId="2E7D0B81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Dato atto del permanere degli equilibri di bilancio, come risulta dal prospetto allegato sotto la lettera b) </w:t>
      </w:r>
    </w:p>
    <w:p w14:paraId="0E2F27B6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quale parte integrante e sostanziale;</w:t>
      </w:r>
    </w:p>
    <w:p w14:paraId="42132E69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</w:p>
    <w:p w14:paraId="74E83BF2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RICHIAMATO il comma 785 lett. b) dell’art.1 della Legge 205/2017 il quale prevede che il prospetto dimostrativo del pareggio di bilancio, a far tempo dal 2019, non deve essere più allegato alle variazioni di </w:t>
      </w:r>
      <w:proofErr w:type="gramStart"/>
      <w:r>
        <w:rPr>
          <w:rFonts w:ascii="Arial" w:hAnsi="Arial" w:cs="Arial"/>
          <w:sz w:val="20"/>
          <w:szCs w:val="20"/>
        </w:rPr>
        <w:t>bilancio ,</w:t>
      </w:r>
      <w:proofErr w:type="gramEnd"/>
    </w:p>
    <w:p w14:paraId="0C50AFE6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</w:p>
    <w:p w14:paraId="0E78BD22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Acquisito agli atti il parere favorevole del responsabile del servizio finanziario, espresso ai sensi dell’art. 153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267/2000;</w:t>
      </w:r>
    </w:p>
    <w:p w14:paraId="48FC8C21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</w:p>
    <w:p w14:paraId="1B98B278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che il parere dell’Organo di Revisione sarà acquisito prima della ratifica del Consiglio comunale; </w:t>
      </w:r>
    </w:p>
    <w:p w14:paraId="4C036F53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</w:p>
    <w:p w14:paraId="3AD292CD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RITENUTO pertanto di avvalersi del potere surrogatorio riconosciuto all’organo esecutivo dall’art. 175, comma 4,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 e di apportare, invia d’urgenza, al bilancio di previsione dell’esercizio le variazioni sopra indicate; </w:t>
      </w:r>
    </w:p>
    <w:p w14:paraId="3B569F89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</w:p>
    <w:p w14:paraId="0533152D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267/2000, come modificato </w:t>
      </w:r>
      <w:proofErr w:type="spellStart"/>
      <w:r>
        <w:rPr>
          <w:rFonts w:ascii="Arial" w:hAnsi="Arial" w:cs="Arial"/>
          <w:sz w:val="20"/>
          <w:szCs w:val="20"/>
        </w:rPr>
        <w:t>ed</w:t>
      </w:r>
      <w:proofErr w:type="spellEnd"/>
      <w:r>
        <w:rPr>
          <w:rFonts w:ascii="Arial" w:hAnsi="Arial" w:cs="Arial"/>
          <w:sz w:val="20"/>
          <w:szCs w:val="20"/>
        </w:rPr>
        <w:t xml:space="preserve"> integrato dal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118/2011;</w:t>
      </w:r>
    </w:p>
    <w:p w14:paraId="13C020FD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118/2011;</w:t>
      </w:r>
    </w:p>
    <w:p w14:paraId="4CBE41E2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lo Statuto Comunale;</w:t>
      </w:r>
    </w:p>
    <w:p w14:paraId="39F248E1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il vigente Regolamento comunale di contabilità;</w:t>
      </w:r>
    </w:p>
    <w:p w14:paraId="1EE2A80C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</w:p>
    <w:p w14:paraId="785592B2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votazione unanime e palese</w:t>
      </w:r>
    </w:p>
    <w:p w14:paraId="05E9BBAA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</w:p>
    <w:p w14:paraId="72D12C1E" w14:textId="77777777" w:rsidR="007D61CA" w:rsidRDefault="007D61CA" w:rsidP="007D61CA">
      <w:pPr>
        <w:pStyle w:val="Titolo1"/>
        <w:rPr>
          <w:rFonts w:ascii="Arial" w:hAnsi="Arial"/>
          <w:sz w:val="20"/>
        </w:rPr>
      </w:pPr>
      <w:r>
        <w:rPr>
          <w:sz w:val="20"/>
        </w:rPr>
        <w:t>DELIBERA</w:t>
      </w:r>
    </w:p>
    <w:p w14:paraId="5D96600D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</w:p>
    <w:p w14:paraId="6CEFB4F4" w14:textId="77777777" w:rsidR="007D61CA" w:rsidRDefault="007D61CA" w:rsidP="007D61C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apportare al bilancio di previsione finanziario 20</w:t>
      </w:r>
      <w:r w:rsidR="00211A3A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/202</w:t>
      </w:r>
      <w:r w:rsidR="00211A3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le variazioni di competenza e di cassa, ai sensi dell’art. 175, commi 1 e 2,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 analiticamente indicate nell’allegato a) di cui si riportano le seguenti risultanze finali:</w:t>
      </w:r>
    </w:p>
    <w:p w14:paraId="42FDD380" w14:textId="77777777" w:rsidR="007D61CA" w:rsidRDefault="007D61CA" w:rsidP="007D61CA">
      <w:pPr>
        <w:ind w:left="426"/>
        <w:jc w:val="both"/>
        <w:rPr>
          <w:rFonts w:ascii="Arial" w:hAnsi="Arial" w:cs="Arial"/>
          <w:sz w:val="20"/>
          <w:szCs w:val="20"/>
        </w:rPr>
      </w:pPr>
    </w:p>
    <w:p w14:paraId="1EA7ADD8" w14:textId="77777777" w:rsidR="007D61CA" w:rsidRDefault="007D61CA" w:rsidP="007D61CA">
      <w:pPr>
        <w:ind w:left="72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0"/>
        <w:gridCol w:w="623"/>
        <w:gridCol w:w="2298"/>
        <w:gridCol w:w="2177"/>
      </w:tblGrid>
      <w:tr w:rsidR="007D61CA" w14:paraId="5895A258" w14:textId="77777777" w:rsidTr="007D61CA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C4F0DE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ENTRATA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592D5F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2E5C3E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</w:tr>
      <w:tr w:rsidR="007D61CA" w14:paraId="40320A8A" w14:textId="77777777" w:rsidTr="007D61CA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1F26A" w14:textId="77777777" w:rsidR="007D61CA" w:rsidRDefault="007D61CA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DD4A7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3E627" w14:textId="64FF37F8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715E0E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D61CA" w14:paraId="676EE660" w14:textId="77777777" w:rsidTr="007D61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B2699" w14:textId="77777777" w:rsidR="007D61CA" w:rsidRDefault="007D61C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4ACF3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B94C" w14:textId="2DFD2A34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C07C58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D61CA" w14:paraId="100DB9DE" w14:textId="77777777" w:rsidTr="007D61CA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8E9BD" w14:textId="77777777" w:rsidR="007D61CA" w:rsidRDefault="007D61CA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BAA9D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4D104B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6DD1E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-------------------</w:t>
            </w:r>
          </w:p>
        </w:tc>
      </w:tr>
      <w:tr w:rsidR="007D61CA" w14:paraId="271E0EBE" w14:textId="77777777" w:rsidTr="007D61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037B0" w14:textId="77777777" w:rsidR="007D61CA" w:rsidRDefault="007D61C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4411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90EDA9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A29AF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-------------------</w:t>
            </w:r>
          </w:p>
        </w:tc>
      </w:tr>
      <w:tr w:rsidR="007D61CA" w14:paraId="0839775A" w14:textId="77777777" w:rsidTr="007D61CA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2865A4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SPESA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3D01D84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2094219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</w:tr>
      <w:tr w:rsidR="007D61CA" w14:paraId="77F62761" w14:textId="77777777" w:rsidTr="007D61CA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6900" w14:textId="77777777" w:rsidR="007D61CA" w:rsidRDefault="007D61CA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CEC69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E62F97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9D94" w14:textId="4C62F2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</w:tr>
      <w:tr w:rsidR="007D61CA" w14:paraId="4811C3A1" w14:textId="77777777" w:rsidTr="007D61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1B4BE" w14:textId="77777777" w:rsidR="007D61CA" w:rsidRDefault="007D61C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A449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9E2E08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8B482" w14:textId="186AFBE8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</w:tr>
      <w:tr w:rsidR="007D61CA" w14:paraId="711A7354" w14:textId="77777777" w:rsidTr="007D61CA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AE09C" w14:textId="77777777" w:rsidR="007D61CA" w:rsidRDefault="007D61CA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7BACF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64DAC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7E9B5A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D61CA" w14:paraId="70FAF4BF" w14:textId="77777777" w:rsidTr="007D61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76118" w14:textId="77777777" w:rsidR="007D61CA" w:rsidRDefault="007D61C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4933C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4382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B79C7A" w14:textId="77777777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D61CA" w14:paraId="641784B8" w14:textId="77777777" w:rsidTr="007D61CA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2A1D" w14:textId="77777777" w:rsidR="007D61CA" w:rsidRDefault="007D61CA">
            <w:pPr>
              <w:spacing w:line="300" w:lineRule="atLeast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TOTALE A PAREGGIO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7593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3567A" w14:textId="271977B4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96A80" w14:textId="3C90F630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</w:tr>
      <w:tr w:rsidR="007D61CA" w14:paraId="15782559" w14:textId="77777777" w:rsidTr="007D61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B66F9" w14:textId="77777777" w:rsidR="007D61CA" w:rsidRDefault="007D61CA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6061" w14:textId="77777777" w:rsidR="007D61CA" w:rsidRDefault="007D61CA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0683E" w14:textId="5D1C2091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BE7CA" w14:textId="05B0077F" w:rsidR="007D61CA" w:rsidRDefault="007D61CA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€. </w:t>
            </w:r>
            <w:r w:rsidR="00211A3A">
              <w:rPr>
                <w:rFonts w:ascii="Arial" w:hAnsi="Arial" w:cs="Arial"/>
                <w:sz w:val="20"/>
                <w:szCs w:val="20"/>
              </w:rPr>
              <w:t>1</w:t>
            </w:r>
            <w:r w:rsidR="00F624B9">
              <w:rPr>
                <w:rFonts w:ascii="Arial" w:hAnsi="Arial" w:cs="Arial"/>
                <w:sz w:val="20"/>
                <w:szCs w:val="20"/>
              </w:rPr>
              <w:t>.705,29</w:t>
            </w:r>
          </w:p>
        </w:tc>
      </w:tr>
    </w:tbl>
    <w:p w14:paraId="3D3D8FA3" w14:textId="77777777" w:rsidR="007D61CA" w:rsidRDefault="007D61CA" w:rsidP="007D61CA">
      <w:pPr>
        <w:spacing w:line="300" w:lineRule="atLeast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DBC44EA" w14:textId="77777777" w:rsidR="007D61CA" w:rsidRDefault="007D61CA" w:rsidP="007D61CA">
      <w:pPr>
        <w:jc w:val="both"/>
        <w:rPr>
          <w:rFonts w:ascii="Arial" w:hAnsi="Arial" w:cs="Arial"/>
          <w:sz w:val="20"/>
          <w:szCs w:val="20"/>
        </w:rPr>
      </w:pPr>
    </w:p>
    <w:p w14:paraId="3AACCA02" w14:textId="77777777" w:rsidR="007D61CA" w:rsidRDefault="007D61CA" w:rsidP="007D61C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dare atto del permanere degli equilibri di bilancio, sulla base dei principi dettati dall’ordinamento finanziario e contabile ed in particolare dagli </w:t>
      </w:r>
      <w:proofErr w:type="gramStart"/>
      <w:r>
        <w:rPr>
          <w:rFonts w:ascii="Arial" w:hAnsi="Arial" w:cs="Arial"/>
          <w:sz w:val="20"/>
          <w:szCs w:val="20"/>
        </w:rPr>
        <w:t>artt..</w:t>
      </w:r>
      <w:proofErr w:type="gramEnd"/>
      <w:r>
        <w:rPr>
          <w:rFonts w:ascii="Arial" w:hAnsi="Arial" w:cs="Arial"/>
          <w:sz w:val="20"/>
          <w:szCs w:val="20"/>
        </w:rPr>
        <w:t xml:space="preserve"> 162, comma 6 e 193 del d. Lgs. n. 267/2000, come risulta dal prospetto che si allega sotto la lettera b) quale parte integrante e sostanziale;</w:t>
      </w:r>
    </w:p>
    <w:p w14:paraId="11CE7217" w14:textId="77777777" w:rsidR="007D61CA" w:rsidRDefault="007D61CA" w:rsidP="007D61CA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variare conseguentemente il Piano Esecutivo di Gestione i termini di competenza e di cassa per l’esercizio 20</w:t>
      </w:r>
      <w:r w:rsidR="00211A3A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;</w:t>
      </w:r>
    </w:p>
    <w:p w14:paraId="37FB9B25" w14:textId="77777777" w:rsidR="007D61CA" w:rsidRDefault="007D61CA" w:rsidP="007D61CA">
      <w:pPr>
        <w:numPr>
          <w:ilvl w:val="0"/>
          <w:numId w:val="2"/>
        </w:numPr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 xml:space="preserve">di inviare per competenza la presente deliberazione al tesoriere comunale, ai sensi dell’art. 216, comma 1,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267/2000;</w:t>
      </w:r>
    </w:p>
    <w:p w14:paraId="4A7BBC86" w14:textId="77777777" w:rsidR="007D61CA" w:rsidRDefault="007D61CA" w:rsidP="007D61CA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DARE ATTO che come previsto dal comma 785 </w:t>
      </w:r>
      <w:proofErr w:type="spellStart"/>
      <w:r>
        <w:rPr>
          <w:rFonts w:ascii="Arial" w:hAnsi="Arial" w:cs="Arial"/>
          <w:sz w:val="20"/>
          <w:szCs w:val="20"/>
        </w:rPr>
        <w:t>lett.B</w:t>
      </w:r>
      <w:proofErr w:type="spellEnd"/>
      <w:r>
        <w:rPr>
          <w:rFonts w:ascii="Arial" w:hAnsi="Arial" w:cs="Arial"/>
          <w:sz w:val="20"/>
          <w:szCs w:val="20"/>
        </w:rPr>
        <w:t>) dell’art.1 della L.205/2017 non si allega il prospetto dimostrativo del pareggio di bilancio.</w:t>
      </w:r>
    </w:p>
    <w:p w14:paraId="07FC319B" w14:textId="77777777" w:rsidR="007D61CA" w:rsidRDefault="007D61CA" w:rsidP="007D61CA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DARE ATTO che sarà richiesto il prescritto parere da parte dell’Organo di </w:t>
      </w:r>
      <w:proofErr w:type="gramStart"/>
      <w:r>
        <w:rPr>
          <w:rFonts w:ascii="Arial" w:hAnsi="Arial" w:cs="Arial"/>
          <w:sz w:val="20"/>
          <w:szCs w:val="20"/>
        </w:rPr>
        <w:t>Revisione 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14:paraId="7107C160" w14:textId="77777777" w:rsidR="007D61CA" w:rsidRDefault="007D61CA" w:rsidP="007D61CA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SOTTOPORRE il presente provvedimento alla ratifica del Consiglio Comunale entro il termine di 60 giorni; </w:t>
      </w:r>
    </w:p>
    <w:p w14:paraId="5192774F" w14:textId="77777777" w:rsidR="007D61CA" w:rsidRDefault="007D61CA" w:rsidP="007D61CA">
      <w:pPr>
        <w:spacing w:line="360" w:lineRule="auto"/>
        <w:rPr>
          <w:rFonts w:ascii="Arial" w:hAnsi="Arial" w:cs="Arial"/>
          <w:sz w:val="20"/>
          <w:szCs w:val="20"/>
        </w:rPr>
      </w:pPr>
    </w:p>
    <w:p w14:paraId="7AF80037" w14:textId="77777777" w:rsidR="007D61CA" w:rsidRDefault="007D61CA" w:rsidP="007D61CA">
      <w:pPr>
        <w:pStyle w:val="Titolo2"/>
        <w:spacing w:line="360" w:lineRule="auto"/>
        <w:jc w:val="center"/>
      </w:pPr>
      <w:r>
        <w:t>LA GIUNTA COMUNALE</w:t>
      </w:r>
    </w:p>
    <w:p w14:paraId="172D3B1D" w14:textId="77777777" w:rsidR="007D61CA" w:rsidRDefault="007D61CA" w:rsidP="007D61CA">
      <w:pPr>
        <w:spacing w:line="360" w:lineRule="auto"/>
        <w:rPr>
          <w:rFonts w:ascii="Arial" w:hAnsi="Arial" w:cs="Arial"/>
          <w:sz w:val="20"/>
          <w:szCs w:val="20"/>
        </w:rPr>
      </w:pPr>
    </w:p>
    <w:p w14:paraId="3D418833" w14:textId="77777777" w:rsidR="007D61CA" w:rsidRDefault="007D61CA" w:rsidP="007D61CA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l’articolo 134, comma 4,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267/2000.</w:t>
      </w:r>
    </w:p>
    <w:p w14:paraId="1612DD01" w14:textId="77777777" w:rsidR="007D61CA" w:rsidRDefault="007D61CA" w:rsidP="007D61CA">
      <w:pPr>
        <w:spacing w:line="360" w:lineRule="auto"/>
        <w:rPr>
          <w:rFonts w:ascii="Arial" w:hAnsi="Arial" w:cs="Arial"/>
          <w:sz w:val="20"/>
          <w:szCs w:val="20"/>
        </w:rPr>
      </w:pPr>
    </w:p>
    <w:p w14:paraId="6CB525FC" w14:textId="77777777" w:rsidR="007D61CA" w:rsidRDefault="007D61CA" w:rsidP="007D61CA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 voti unanimi resi dai convenuti aventi diritto di voto</w:t>
      </w:r>
    </w:p>
    <w:p w14:paraId="7C7F1E58" w14:textId="77777777" w:rsidR="007D61CA" w:rsidRDefault="007D61CA" w:rsidP="007D61CA">
      <w:pPr>
        <w:spacing w:line="360" w:lineRule="auto"/>
        <w:rPr>
          <w:rFonts w:ascii="Arial" w:hAnsi="Arial" w:cs="Arial"/>
          <w:sz w:val="20"/>
          <w:szCs w:val="20"/>
        </w:rPr>
      </w:pPr>
    </w:p>
    <w:p w14:paraId="33BC0217" w14:textId="77777777" w:rsidR="007D61CA" w:rsidRDefault="007D61CA" w:rsidP="007D61CA">
      <w:pPr>
        <w:pStyle w:val="Titolo2"/>
        <w:spacing w:line="360" w:lineRule="auto"/>
        <w:jc w:val="center"/>
      </w:pPr>
      <w:r>
        <w:t>DELIBERA</w:t>
      </w:r>
    </w:p>
    <w:p w14:paraId="4EA90A64" w14:textId="77777777" w:rsidR="007D61CA" w:rsidRDefault="007D61CA" w:rsidP="007D61C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46007698" w14:textId="77777777" w:rsidR="007D61CA" w:rsidRDefault="007D61CA" w:rsidP="007D61CA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dichiarare la presente deliberazione immediatamente eseguibile.</w:t>
      </w:r>
    </w:p>
    <w:p w14:paraId="1AD27E03" w14:textId="77777777" w:rsidR="007D61CA" w:rsidRDefault="007D61CA" w:rsidP="007D61CA">
      <w:pPr>
        <w:jc w:val="both"/>
        <w:rPr>
          <w:rFonts w:ascii="Arial" w:hAnsi="Arial" w:cs="Arial"/>
        </w:rPr>
      </w:pPr>
    </w:p>
    <w:p w14:paraId="1838F5EF" w14:textId="77777777" w:rsidR="00B51B26" w:rsidRPr="007D61CA" w:rsidRDefault="00B51B26" w:rsidP="007D61CA"/>
    <w:sectPr w:rsidR="00B51B26" w:rsidRPr="007D61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B0F2B"/>
    <w:multiLevelType w:val="hybridMultilevel"/>
    <w:tmpl w:val="4D3A176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48A797E"/>
    <w:multiLevelType w:val="hybridMultilevel"/>
    <w:tmpl w:val="4B86E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A3E1C"/>
    <w:multiLevelType w:val="hybridMultilevel"/>
    <w:tmpl w:val="D850E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1CA"/>
    <w:rsid w:val="000675EB"/>
    <w:rsid w:val="00211A3A"/>
    <w:rsid w:val="00442B1F"/>
    <w:rsid w:val="00570F6D"/>
    <w:rsid w:val="007D61CA"/>
    <w:rsid w:val="008C1848"/>
    <w:rsid w:val="00B51B26"/>
    <w:rsid w:val="00E173A6"/>
    <w:rsid w:val="00F1276E"/>
    <w:rsid w:val="00F6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E0C0F"/>
  <w15:chartTrackingRefBased/>
  <w15:docId w15:val="{822023BE-246B-4C14-B32C-347E7A1D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6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D61CA"/>
    <w:pPr>
      <w:keepNext/>
      <w:jc w:val="center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D61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D61CA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7D61CA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customStyle="1" w:styleId="TESTO">
    <w:name w:val="TESTO"/>
    <w:rsid w:val="007D61CA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3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1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98081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7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17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8738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868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599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zzettaufficiale.it/eli/id/2020/03/17/20G00034/s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zzettaufficiale.it/atto/serie_generale/caricaArticolo?art.progressivo=0&amp;art.idArticolo=115&amp;art.versione=1&amp;art.codiceRedazionale=20G00034&amp;art.dataPubblicazioneGazzetta=2020-03-17&amp;art.idGruppo=6&amp;art.idSottoArticolo1=10&amp;art.idSottoArticolo=1&amp;art.flagTipoArticolo=0" TargetMode="External"/><Relationship Id="rId5" Type="http://schemas.openxmlformats.org/officeDocument/2006/relationships/hyperlink" Target="https://www.gazzettaufficiale.it/atto/serie_generale/caricaArticolo?art.progressivo=0&amp;art.idArticolo=114&amp;art.versione=1&amp;art.codiceRedazionale=20G00034&amp;art.dataPubblicazioneGazzetta=2020-03-17&amp;art.idGruppo=6&amp;art.idSottoArticolo1=10&amp;art.idSottoArticolo=1&amp;art.flagTipoArticolo=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</dc:creator>
  <cp:keywords/>
  <dc:description/>
  <cp:lastModifiedBy>Giuliana</cp:lastModifiedBy>
  <cp:revision>5</cp:revision>
  <dcterms:created xsi:type="dcterms:W3CDTF">2020-04-27T08:07:00Z</dcterms:created>
  <dcterms:modified xsi:type="dcterms:W3CDTF">2020-04-27T08:17:00Z</dcterms:modified>
</cp:coreProperties>
</file>