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A29E" w14:textId="4D9AA8A9" w:rsidR="009A296A" w:rsidRPr="00C56DF8" w:rsidRDefault="00BB1D80" w:rsidP="00B7199B">
      <w:pPr>
        <w:jc w:val="center"/>
        <w:rPr>
          <w:rFonts w:ascii="Times New Roman" w:hAnsi="Times New Roman"/>
          <w:i/>
          <w:iCs/>
          <w:sz w:val="28"/>
          <w:szCs w:val="24"/>
        </w:rPr>
      </w:pPr>
      <w:r w:rsidRPr="00C56DF8">
        <w:rPr>
          <w:rFonts w:ascii="Times New Roman" w:hAnsi="Times New Roman"/>
          <w:i/>
          <w:iCs/>
          <w:sz w:val="28"/>
          <w:szCs w:val="24"/>
        </w:rPr>
        <w:t>Piano integrato di attività e organizzazione (PIAO)</w:t>
      </w:r>
    </w:p>
    <w:p w14:paraId="414535FC" w14:textId="17F9AFEA" w:rsidR="00BB1D80" w:rsidRPr="00C56DF8" w:rsidRDefault="00BB1D80" w:rsidP="00E834C0">
      <w:pPr>
        <w:jc w:val="both"/>
        <w:rPr>
          <w:rFonts w:ascii="Times New Roman" w:hAnsi="Times New Roman"/>
          <w:sz w:val="28"/>
          <w:szCs w:val="24"/>
        </w:rPr>
      </w:pPr>
      <w:r w:rsidRPr="00885757">
        <w:rPr>
          <w:rFonts w:ascii="Times New Roman" w:hAnsi="Times New Roman"/>
          <w:sz w:val="28"/>
          <w:szCs w:val="24"/>
        </w:rPr>
        <w:t>Sezione 3: Organizzazione e capitale umano</w:t>
      </w:r>
    </w:p>
    <w:p w14:paraId="7EC2EF87" w14:textId="77777777" w:rsidR="00AD2EAC" w:rsidRDefault="00AD2EAC" w:rsidP="00C63320">
      <w:pPr>
        <w:jc w:val="center"/>
        <w:rPr>
          <w:rFonts w:ascii="Times New Roman" w:hAnsi="Times New Roman"/>
          <w:b/>
          <w:bCs/>
          <w:sz w:val="28"/>
          <w:szCs w:val="24"/>
        </w:rPr>
      </w:pPr>
    </w:p>
    <w:p w14:paraId="4E3A5C30" w14:textId="4F7D7BAF" w:rsidR="00AD2EAC" w:rsidRDefault="00AD2EAC" w:rsidP="00AD2EAC">
      <w:pPr>
        <w:jc w:val="center"/>
        <w:rPr>
          <w:rFonts w:ascii="Times New Roman" w:hAnsi="Times New Roman"/>
          <w:b/>
          <w:bCs/>
          <w:sz w:val="28"/>
          <w:szCs w:val="24"/>
        </w:rPr>
      </w:pPr>
      <w:r w:rsidRPr="00C56DF8">
        <w:rPr>
          <w:rFonts w:ascii="Times New Roman" w:hAnsi="Times New Roman"/>
          <w:b/>
          <w:bCs/>
          <w:sz w:val="28"/>
          <w:szCs w:val="24"/>
        </w:rPr>
        <w:t>Sottosezione 3.</w:t>
      </w:r>
      <w:r>
        <w:rPr>
          <w:rFonts w:ascii="Times New Roman" w:hAnsi="Times New Roman"/>
          <w:b/>
          <w:bCs/>
          <w:sz w:val="28"/>
          <w:szCs w:val="24"/>
        </w:rPr>
        <w:t>1</w:t>
      </w:r>
      <w:r w:rsidRPr="00C56DF8">
        <w:rPr>
          <w:rFonts w:ascii="Times New Roman" w:hAnsi="Times New Roman"/>
          <w:b/>
          <w:bCs/>
          <w:sz w:val="28"/>
          <w:szCs w:val="24"/>
        </w:rPr>
        <w:t xml:space="preserve">: </w:t>
      </w:r>
      <w:r>
        <w:rPr>
          <w:rFonts w:ascii="Times New Roman" w:hAnsi="Times New Roman"/>
          <w:b/>
          <w:bCs/>
          <w:sz w:val="28"/>
          <w:szCs w:val="24"/>
        </w:rPr>
        <w:t>Struttura organizzativa</w:t>
      </w:r>
      <w:r w:rsidRPr="00C56DF8">
        <w:rPr>
          <w:rFonts w:ascii="Times New Roman" w:hAnsi="Times New Roman"/>
          <w:b/>
          <w:bCs/>
          <w:sz w:val="28"/>
          <w:szCs w:val="24"/>
        </w:rPr>
        <w:t xml:space="preserve"> </w:t>
      </w:r>
    </w:p>
    <w:p w14:paraId="1BFEBA2C" w14:textId="1638FC69" w:rsidR="00C30DAA" w:rsidRDefault="00C30DAA" w:rsidP="00AD2EAC">
      <w:pPr>
        <w:jc w:val="center"/>
        <w:rPr>
          <w:rFonts w:ascii="Times New Roman" w:hAnsi="Times New Roman"/>
          <w:b/>
          <w:bCs/>
          <w:sz w:val="28"/>
          <w:szCs w:val="24"/>
        </w:rPr>
      </w:pPr>
    </w:p>
    <w:p w14:paraId="547ED7A0" w14:textId="7B65243A" w:rsidR="0016374B" w:rsidRPr="005A5ACF" w:rsidRDefault="005A5ACF" w:rsidP="0016374B">
      <w:pPr>
        <w:spacing w:after="200" w:line="276" w:lineRule="auto"/>
        <w:ind w:left="720"/>
        <w:contextualSpacing/>
        <w:rPr>
          <w:rFonts w:ascii="Times New Roman" w:hAnsi="Times New Roman"/>
        </w:rPr>
      </w:pPr>
      <w:r w:rsidRPr="005A5ACF">
        <w:rPr>
          <w:rFonts w:ascii="Times New Roman" w:hAnsi="Times New Roman"/>
        </w:rPr>
        <w:t>Situazione al 31.12.2022</w:t>
      </w:r>
    </w:p>
    <w:p w14:paraId="035402DB" w14:textId="77777777" w:rsidR="00167329" w:rsidRPr="0063151F" w:rsidRDefault="00167329" w:rsidP="00167329">
      <w:pPr>
        <w:jc w:val="both"/>
      </w:pPr>
    </w:p>
    <w:tbl>
      <w:tblPr>
        <w:tblW w:w="6422" w:type="dxa"/>
        <w:jc w:val="center"/>
        <w:tblCellMar>
          <w:left w:w="70" w:type="dxa"/>
          <w:right w:w="70" w:type="dxa"/>
        </w:tblCellMar>
        <w:tblLook w:val="04A0" w:firstRow="1" w:lastRow="0" w:firstColumn="1" w:lastColumn="0" w:noHBand="0" w:noVBand="1"/>
      </w:tblPr>
      <w:tblGrid>
        <w:gridCol w:w="1497"/>
        <w:gridCol w:w="2980"/>
        <w:gridCol w:w="900"/>
        <w:gridCol w:w="1045"/>
      </w:tblGrid>
      <w:tr w:rsidR="00E136BE" w14:paraId="77346952" w14:textId="77777777" w:rsidTr="00E136BE">
        <w:trPr>
          <w:trHeight w:val="900"/>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2C1C72F7" w14:textId="77777777" w:rsidR="00E136BE" w:rsidRDefault="00E136BE" w:rsidP="00847858">
            <w:pPr>
              <w:jc w:val="center"/>
              <w:rPr>
                <w:b/>
                <w:bCs/>
                <w:color w:val="000000"/>
              </w:rPr>
            </w:pPr>
            <w:r>
              <w:rPr>
                <w:b/>
                <w:bCs/>
                <w:color w:val="000000"/>
              </w:rPr>
              <w:t>Categoria</w:t>
            </w:r>
          </w:p>
        </w:tc>
        <w:tc>
          <w:tcPr>
            <w:tcW w:w="2980" w:type="dxa"/>
            <w:tcBorders>
              <w:top w:val="single" w:sz="4" w:space="0" w:color="auto"/>
              <w:left w:val="nil"/>
              <w:bottom w:val="single" w:sz="4" w:space="0" w:color="auto"/>
              <w:right w:val="single" w:sz="4" w:space="0" w:color="auto"/>
            </w:tcBorders>
            <w:vAlign w:val="center"/>
            <w:hideMark/>
          </w:tcPr>
          <w:p w14:paraId="5A733EA7" w14:textId="77777777" w:rsidR="00E136BE" w:rsidRDefault="00E136BE" w:rsidP="00847858">
            <w:pPr>
              <w:jc w:val="center"/>
              <w:rPr>
                <w:b/>
                <w:bCs/>
                <w:color w:val="000000"/>
              </w:rPr>
            </w:pPr>
            <w:r>
              <w:rPr>
                <w:b/>
                <w:bCs/>
                <w:color w:val="000000"/>
              </w:rPr>
              <w:t>Profilo Professionale</w:t>
            </w:r>
          </w:p>
        </w:tc>
        <w:tc>
          <w:tcPr>
            <w:tcW w:w="900" w:type="dxa"/>
            <w:tcBorders>
              <w:top w:val="single" w:sz="4" w:space="0" w:color="auto"/>
              <w:left w:val="nil"/>
              <w:bottom w:val="single" w:sz="4" w:space="0" w:color="auto"/>
              <w:right w:val="single" w:sz="4" w:space="0" w:color="auto"/>
            </w:tcBorders>
            <w:vAlign w:val="center"/>
            <w:hideMark/>
          </w:tcPr>
          <w:p w14:paraId="12376D1B" w14:textId="77777777" w:rsidR="00E136BE" w:rsidRDefault="00E136BE" w:rsidP="00847858">
            <w:pPr>
              <w:jc w:val="center"/>
              <w:rPr>
                <w:b/>
                <w:bCs/>
                <w:color w:val="000000"/>
              </w:rPr>
            </w:pPr>
            <w:r>
              <w:rPr>
                <w:b/>
                <w:bCs/>
                <w:color w:val="000000"/>
              </w:rPr>
              <w:t xml:space="preserve">Totale  n.   posti </w:t>
            </w:r>
          </w:p>
        </w:tc>
        <w:tc>
          <w:tcPr>
            <w:tcW w:w="1045" w:type="dxa"/>
            <w:tcBorders>
              <w:top w:val="single" w:sz="4" w:space="0" w:color="auto"/>
              <w:left w:val="nil"/>
              <w:bottom w:val="single" w:sz="4" w:space="0" w:color="auto"/>
              <w:right w:val="single" w:sz="4" w:space="0" w:color="auto"/>
            </w:tcBorders>
            <w:vAlign w:val="center"/>
            <w:hideMark/>
          </w:tcPr>
          <w:p w14:paraId="73614F84" w14:textId="77777777" w:rsidR="00E136BE" w:rsidRDefault="00E136BE" w:rsidP="00847858">
            <w:pPr>
              <w:jc w:val="center"/>
              <w:rPr>
                <w:b/>
                <w:bCs/>
                <w:color w:val="000000"/>
              </w:rPr>
            </w:pPr>
            <w:r>
              <w:rPr>
                <w:b/>
                <w:bCs/>
                <w:color w:val="000000"/>
              </w:rPr>
              <w:t>N           posti occupati</w:t>
            </w:r>
          </w:p>
        </w:tc>
      </w:tr>
      <w:tr w:rsidR="00E136BE" w14:paraId="5B6E4CE0" w14:textId="77777777" w:rsidTr="00E136BE">
        <w:trPr>
          <w:trHeight w:val="172"/>
          <w:jc w:val="center"/>
        </w:trPr>
        <w:tc>
          <w:tcPr>
            <w:tcW w:w="1497" w:type="dxa"/>
            <w:tcBorders>
              <w:top w:val="nil"/>
              <w:left w:val="nil"/>
              <w:bottom w:val="double" w:sz="6" w:space="0" w:color="000000"/>
              <w:right w:val="nil"/>
            </w:tcBorders>
            <w:noWrap/>
            <w:vAlign w:val="bottom"/>
            <w:hideMark/>
          </w:tcPr>
          <w:p w14:paraId="30B95E0F" w14:textId="77777777" w:rsidR="00E136BE" w:rsidRDefault="00E136BE" w:rsidP="00847858">
            <w:pPr>
              <w:rPr>
                <w:color w:val="000000"/>
              </w:rPr>
            </w:pPr>
            <w:r>
              <w:rPr>
                <w:color w:val="000000"/>
              </w:rPr>
              <w:t> </w:t>
            </w:r>
          </w:p>
        </w:tc>
        <w:tc>
          <w:tcPr>
            <w:tcW w:w="2980" w:type="dxa"/>
            <w:tcBorders>
              <w:top w:val="nil"/>
              <w:left w:val="nil"/>
              <w:bottom w:val="double" w:sz="6" w:space="0" w:color="000000"/>
              <w:right w:val="nil"/>
            </w:tcBorders>
            <w:noWrap/>
            <w:vAlign w:val="bottom"/>
            <w:hideMark/>
          </w:tcPr>
          <w:p w14:paraId="525A353F" w14:textId="77777777" w:rsidR="00E136BE" w:rsidRDefault="00E136BE" w:rsidP="00847858">
            <w:pPr>
              <w:rPr>
                <w:color w:val="000000"/>
              </w:rPr>
            </w:pPr>
            <w:r>
              <w:rPr>
                <w:color w:val="000000"/>
              </w:rPr>
              <w:t> </w:t>
            </w:r>
          </w:p>
        </w:tc>
        <w:tc>
          <w:tcPr>
            <w:tcW w:w="900" w:type="dxa"/>
            <w:tcBorders>
              <w:top w:val="nil"/>
              <w:left w:val="nil"/>
              <w:bottom w:val="double" w:sz="6" w:space="0" w:color="000000"/>
              <w:right w:val="nil"/>
            </w:tcBorders>
            <w:noWrap/>
            <w:vAlign w:val="bottom"/>
            <w:hideMark/>
          </w:tcPr>
          <w:p w14:paraId="69B99CE2" w14:textId="77777777" w:rsidR="00E136BE" w:rsidRDefault="00E136BE" w:rsidP="00847858">
            <w:pPr>
              <w:rPr>
                <w:color w:val="000000"/>
              </w:rPr>
            </w:pPr>
            <w:r>
              <w:rPr>
                <w:color w:val="000000"/>
              </w:rPr>
              <w:t> </w:t>
            </w:r>
          </w:p>
        </w:tc>
        <w:tc>
          <w:tcPr>
            <w:tcW w:w="1045" w:type="dxa"/>
            <w:tcBorders>
              <w:top w:val="nil"/>
              <w:left w:val="nil"/>
              <w:bottom w:val="double" w:sz="6" w:space="0" w:color="000000"/>
              <w:right w:val="nil"/>
            </w:tcBorders>
            <w:noWrap/>
            <w:vAlign w:val="bottom"/>
            <w:hideMark/>
          </w:tcPr>
          <w:p w14:paraId="10C472A1" w14:textId="77777777" w:rsidR="00E136BE" w:rsidRDefault="00E136BE" w:rsidP="00847858">
            <w:pPr>
              <w:rPr>
                <w:color w:val="000000"/>
              </w:rPr>
            </w:pPr>
            <w:r>
              <w:rPr>
                <w:color w:val="000000"/>
              </w:rPr>
              <w:t> </w:t>
            </w:r>
          </w:p>
        </w:tc>
      </w:tr>
      <w:tr w:rsidR="00E136BE" w14:paraId="144CB935" w14:textId="77777777" w:rsidTr="00E136BE">
        <w:trPr>
          <w:trHeight w:val="330"/>
          <w:jc w:val="center"/>
        </w:trPr>
        <w:tc>
          <w:tcPr>
            <w:tcW w:w="1497" w:type="dxa"/>
            <w:tcBorders>
              <w:top w:val="nil"/>
              <w:left w:val="double" w:sz="6" w:space="0" w:color="000000"/>
              <w:bottom w:val="double" w:sz="6" w:space="0" w:color="000000"/>
              <w:right w:val="double" w:sz="6" w:space="0" w:color="000000"/>
            </w:tcBorders>
            <w:vAlign w:val="center"/>
            <w:hideMark/>
          </w:tcPr>
          <w:p w14:paraId="318804AB" w14:textId="667A7A52" w:rsidR="00E136BE" w:rsidRDefault="00E136BE" w:rsidP="00847858">
            <w:pPr>
              <w:rPr>
                <w:b/>
                <w:bCs/>
                <w:color w:val="000000"/>
              </w:rPr>
            </w:pPr>
            <w:r>
              <w:rPr>
                <w:b/>
                <w:bCs/>
                <w:color w:val="000000"/>
              </w:rPr>
              <w:t>EX CAT. A / AREA OPERATORI</w:t>
            </w:r>
          </w:p>
        </w:tc>
        <w:tc>
          <w:tcPr>
            <w:tcW w:w="2980" w:type="dxa"/>
            <w:tcBorders>
              <w:top w:val="nil"/>
              <w:left w:val="nil"/>
              <w:bottom w:val="double" w:sz="6" w:space="0" w:color="000000"/>
              <w:right w:val="double" w:sz="6" w:space="0" w:color="000000"/>
            </w:tcBorders>
            <w:vAlign w:val="center"/>
            <w:hideMark/>
          </w:tcPr>
          <w:p w14:paraId="4A27DF0D" w14:textId="77777777" w:rsidR="00E136BE" w:rsidRDefault="00E136BE" w:rsidP="00847858">
            <w:pPr>
              <w:rPr>
                <w:color w:val="000000"/>
              </w:rPr>
            </w:pPr>
            <w:r>
              <w:rPr>
                <w:color w:val="000000"/>
              </w:rPr>
              <w:t>Operatore</w:t>
            </w:r>
          </w:p>
        </w:tc>
        <w:tc>
          <w:tcPr>
            <w:tcW w:w="900" w:type="dxa"/>
            <w:tcBorders>
              <w:top w:val="nil"/>
              <w:left w:val="nil"/>
              <w:bottom w:val="double" w:sz="6" w:space="0" w:color="000000"/>
              <w:right w:val="double" w:sz="6" w:space="0" w:color="000000"/>
            </w:tcBorders>
            <w:vAlign w:val="center"/>
            <w:hideMark/>
          </w:tcPr>
          <w:p w14:paraId="76A4C1C6" w14:textId="77777777" w:rsidR="00E136BE" w:rsidRDefault="00E136BE" w:rsidP="00847858">
            <w:pPr>
              <w:jc w:val="center"/>
              <w:rPr>
                <w:b/>
                <w:bCs/>
                <w:color w:val="000000"/>
              </w:rPr>
            </w:pPr>
            <w:r>
              <w:rPr>
                <w:b/>
                <w:bCs/>
                <w:color w:val="000000"/>
              </w:rPr>
              <w:t>0</w:t>
            </w:r>
          </w:p>
        </w:tc>
        <w:tc>
          <w:tcPr>
            <w:tcW w:w="1045" w:type="dxa"/>
            <w:tcBorders>
              <w:top w:val="nil"/>
              <w:left w:val="nil"/>
              <w:bottom w:val="double" w:sz="6" w:space="0" w:color="000000"/>
              <w:right w:val="double" w:sz="6" w:space="0" w:color="000000"/>
            </w:tcBorders>
            <w:vAlign w:val="center"/>
            <w:hideMark/>
          </w:tcPr>
          <w:p w14:paraId="29AAB0C8" w14:textId="77777777" w:rsidR="00E136BE" w:rsidRDefault="00E136BE" w:rsidP="00847858">
            <w:pPr>
              <w:jc w:val="center"/>
              <w:rPr>
                <w:b/>
                <w:bCs/>
                <w:color w:val="000000"/>
              </w:rPr>
            </w:pPr>
            <w:r>
              <w:rPr>
                <w:b/>
                <w:bCs/>
                <w:color w:val="000000"/>
              </w:rPr>
              <w:t>0</w:t>
            </w:r>
          </w:p>
        </w:tc>
      </w:tr>
      <w:tr w:rsidR="00E136BE" w14:paraId="670AE02E" w14:textId="77777777" w:rsidTr="00E136BE">
        <w:trPr>
          <w:trHeight w:val="203"/>
          <w:jc w:val="center"/>
        </w:trPr>
        <w:tc>
          <w:tcPr>
            <w:tcW w:w="1497" w:type="dxa"/>
            <w:tcBorders>
              <w:top w:val="nil"/>
              <w:left w:val="nil"/>
              <w:bottom w:val="double" w:sz="6" w:space="0" w:color="000000"/>
              <w:right w:val="nil"/>
            </w:tcBorders>
            <w:vAlign w:val="center"/>
            <w:hideMark/>
          </w:tcPr>
          <w:p w14:paraId="5E69E3D8" w14:textId="77777777" w:rsidR="00E136BE" w:rsidRDefault="00E136BE" w:rsidP="00847858">
            <w:pPr>
              <w:jc w:val="center"/>
              <w:rPr>
                <w:color w:val="000000"/>
              </w:rPr>
            </w:pPr>
            <w:r>
              <w:rPr>
                <w:color w:val="000000"/>
              </w:rPr>
              <w:t> </w:t>
            </w:r>
          </w:p>
        </w:tc>
        <w:tc>
          <w:tcPr>
            <w:tcW w:w="2980" w:type="dxa"/>
            <w:tcBorders>
              <w:top w:val="nil"/>
              <w:left w:val="nil"/>
              <w:bottom w:val="double" w:sz="6" w:space="0" w:color="000000"/>
              <w:right w:val="nil"/>
            </w:tcBorders>
            <w:vAlign w:val="center"/>
            <w:hideMark/>
          </w:tcPr>
          <w:p w14:paraId="1F56BB26" w14:textId="77777777" w:rsidR="00E136BE" w:rsidRDefault="00E136BE" w:rsidP="00847858">
            <w:pPr>
              <w:jc w:val="center"/>
              <w:rPr>
                <w:color w:val="000000"/>
              </w:rPr>
            </w:pPr>
            <w:r>
              <w:rPr>
                <w:color w:val="000000"/>
              </w:rPr>
              <w:t> </w:t>
            </w:r>
          </w:p>
        </w:tc>
        <w:tc>
          <w:tcPr>
            <w:tcW w:w="900" w:type="dxa"/>
            <w:tcBorders>
              <w:top w:val="nil"/>
              <w:left w:val="nil"/>
              <w:bottom w:val="double" w:sz="6" w:space="0" w:color="000000"/>
              <w:right w:val="nil"/>
            </w:tcBorders>
            <w:vAlign w:val="center"/>
            <w:hideMark/>
          </w:tcPr>
          <w:p w14:paraId="5D5666F0" w14:textId="77777777" w:rsidR="00E136BE" w:rsidRDefault="00E136BE" w:rsidP="00847858">
            <w:pPr>
              <w:jc w:val="center"/>
              <w:rPr>
                <w:color w:val="000000"/>
              </w:rPr>
            </w:pPr>
            <w:r>
              <w:rPr>
                <w:color w:val="000000"/>
              </w:rPr>
              <w:t> </w:t>
            </w:r>
          </w:p>
        </w:tc>
        <w:tc>
          <w:tcPr>
            <w:tcW w:w="1045" w:type="dxa"/>
            <w:tcBorders>
              <w:top w:val="nil"/>
              <w:left w:val="nil"/>
              <w:bottom w:val="double" w:sz="6" w:space="0" w:color="000000"/>
              <w:right w:val="nil"/>
            </w:tcBorders>
            <w:vAlign w:val="center"/>
            <w:hideMark/>
          </w:tcPr>
          <w:p w14:paraId="56B7DFA0" w14:textId="77777777" w:rsidR="00E136BE" w:rsidRDefault="00E136BE" w:rsidP="00847858">
            <w:pPr>
              <w:jc w:val="center"/>
              <w:rPr>
                <w:color w:val="000000"/>
              </w:rPr>
            </w:pPr>
            <w:r>
              <w:rPr>
                <w:color w:val="000000"/>
              </w:rPr>
              <w:t> </w:t>
            </w:r>
          </w:p>
        </w:tc>
      </w:tr>
      <w:tr w:rsidR="00E136BE" w14:paraId="54496109" w14:textId="77777777" w:rsidTr="00E136BE">
        <w:trPr>
          <w:trHeight w:val="930"/>
          <w:jc w:val="center"/>
        </w:trPr>
        <w:tc>
          <w:tcPr>
            <w:tcW w:w="1497" w:type="dxa"/>
            <w:tcBorders>
              <w:top w:val="nil"/>
              <w:left w:val="double" w:sz="6" w:space="0" w:color="000000"/>
              <w:bottom w:val="double" w:sz="6" w:space="0" w:color="000000"/>
              <w:right w:val="double" w:sz="6" w:space="0" w:color="000000"/>
            </w:tcBorders>
            <w:vAlign w:val="center"/>
            <w:hideMark/>
          </w:tcPr>
          <w:p w14:paraId="2747237F" w14:textId="52685D19" w:rsidR="00E136BE" w:rsidRDefault="00E136BE" w:rsidP="00847858">
            <w:pPr>
              <w:rPr>
                <w:b/>
                <w:bCs/>
                <w:color w:val="000000"/>
              </w:rPr>
            </w:pPr>
            <w:r>
              <w:rPr>
                <w:b/>
                <w:bCs/>
                <w:color w:val="000000"/>
              </w:rPr>
              <w:t>EX CAT. B / AREA OPERATORI ESPERTI</w:t>
            </w:r>
          </w:p>
        </w:tc>
        <w:tc>
          <w:tcPr>
            <w:tcW w:w="2980" w:type="dxa"/>
            <w:tcBorders>
              <w:top w:val="nil"/>
              <w:left w:val="nil"/>
              <w:bottom w:val="double" w:sz="6" w:space="0" w:color="000000"/>
              <w:right w:val="double" w:sz="6" w:space="0" w:color="000000"/>
            </w:tcBorders>
            <w:vAlign w:val="center"/>
            <w:hideMark/>
          </w:tcPr>
          <w:p w14:paraId="6F29905B" w14:textId="77777777" w:rsidR="00E136BE" w:rsidRDefault="00E136BE" w:rsidP="00847858">
            <w:pPr>
              <w:rPr>
                <w:color w:val="000000"/>
              </w:rPr>
            </w:pPr>
            <w:r>
              <w:rPr>
                <w:color w:val="000000"/>
              </w:rPr>
              <w:t>Operatore / Operaio Generico</w:t>
            </w:r>
          </w:p>
        </w:tc>
        <w:tc>
          <w:tcPr>
            <w:tcW w:w="900" w:type="dxa"/>
            <w:tcBorders>
              <w:top w:val="nil"/>
              <w:left w:val="nil"/>
              <w:bottom w:val="double" w:sz="6" w:space="0" w:color="000000"/>
              <w:right w:val="double" w:sz="6" w:space="0" w:color="000000"/>
            </w:tcBorders>
            <w:vAlign w:val="center"/>
            <w:hideMark/>
          </w:tcPr>
          <w:p w14:paraId="2893EF5E" w14:textId="77777777" w:rsidR="00E136BE" w:rsidRDefault="00E136BE" w:rsidP="00847858">
            <w:pPr>
              <w:jc w:val="center"/>
              <w:rPr>
                <w:b/>
                <w:bCs/>
                <w:color w:val="000000"/>
              </w:rPr>
            </w:pPr>
            <w:r>
              <w:rPr>
                <w:b/>
                <w:bCs/>
                <w:color w:val="000000"/>
              </w:rPr>
              <w:t>1</w:t>
            </w:r>
          </w:p>
        </w:tc>
        <w:tc>
          <w:tcPr>
            <w:tcW w:w="1045" w:type="dxa"/>
            <w:tcBorders>
              <w:top w:val="nil"/>
              <w:left w:val="nil"/>
              <w:bottom w:val="double" w:sz="6" w:space="0" w:color="000000"/>
              <w:right w:val="double" w:sz="6" w:space="0" w:color="000000"/>
            </w:tcBorders>
            <w:vAlign w:val="center"/>
            <w:hideMark/>
          </w:tcPr>
          <w:p w14:paraId="4E52A9D0" w14:textId="24CBB3D4" w:rsidR="00E136BE" w:rsidRDefault="005A5ACF" w:rsidP="00847858">
            <w:pPr>
              <w:jc w:val="center"/>
              <w:rPr>
                <w:b/>
                <w:bCs/>
                <w:color w:val="000000"/>
              </w:rPr>
            </w:pPr>
            <w:r>
              <w:rPr>
                <w:b/>
                <w:bCs/>
                <w:color w:val="000000"/>
              </w:rPr>
              <w:t>1*</w:t>
            </w:r>
          </w:p>
        </w:tc>
      </w:tr>
      <w:tr w:rsidR="00E136BE" w14:paraId="6E8A6F0D" w14:textId="77777777" w:rsidTr="00E136BE">
        <w:trPr>
          <w:trHeight w:val="207"/>
          <w:jc w:val="center"/>
        </w:trPr>
        <w:tc>
          <w:tcPr>
            <w:tcW w:w="1497" w:type="dxa"/>
            <w:tcBorders>
              <w:top w:val="nil"/>
              <w:left w:val="nil"/>
              <w:bottom w:val="double" w:sz="6" w:space="0" w:color="000000"/>
              <w:right w:val="nil"/>
            </w:tcBorders>
            <w:vAlign w:val="center"/>
            <w:hideMark/>
          </w:tcPr>
          <w:p w14:paraId="1E1C7342" w14:textId="77777777" w:rsidR="00E136BE" w:rsidRDefault="00E136BE" w:rsidP="00847858">
            <w:pPr>
              <w:jc w:val="center"/>
              <w:rPr>
                <w:color w:val="000000"/>
              </w:rPr>
            </w:pPr>
            <w:r>
              <w:rPr>
                <w:color w:val="000000"/>
              </w:rPr>
              <w:t> </w:t>
            </w:r>
          </w:p>
        </w:tc>
        <w:tc>
          <w:tcPr>
            <w:tcW w:w="2980" w:type="dxa"/>
            <w:tcBorders>
              <w:top w:val="nil"/>
              <w:left w:val="nil"/>
              <w:bottom w:val="double" w:sz="6" w:space="0" w:color="000000"/>
              <w:right w:val="nil"/>
            </w:tcBorders>
            <w:vAlign w:val="center"/>
            <w:hideMark/>
          </w:tcPr>
          <w:p w14:paraId="447E6E69" w14:textId="77777777" w:rsidR="00E136BE" w:rsidRDefault="00E136BE" w:rsidP="00847858">
            <w:pPr>
              <w:jc w:val="center"/>
              <w:rPr>
                <w:color w:val="000000"/>
              </w:rPr>
            </w:pPr>
            <w:r>
              <w:rPr>
                <w:color w:val="000000"/>
              </w:rPr>
              <w:t> </w:t>
            </w:r>
          </w:p>
        </w:tc>
        <w:tc>
          <w:tcPr>
            <w:tcW w:w="900" w:type="dxa"/>
            <w:tcBorders>
              <w:top w:val="nil"/>
              <w:left w:val="nil"/>
              <w:bottom w:val="double" w:sz="6" w:space="0" w:color="000000"/>
              <w:right w:val="nil"/>
            </w:tcBorders>
            <w:vAlign w:val="center"/>
            <w:hideMark/>
          </w:tcPr>
          <w:p w14:paraId="415E9E44" w14:textId="77777777" w:rsidR="00E136BE" w:rsidRDefault="00E136BE" w:rsidP="00847858">
            <w:pPr>
              <w:jc w:val="center"/>
              <w:rPr>
                <w:color w:val="000000"/>
              </w:rPr>
            </w:pPr>
            <w:r>
              <w:rPr>
                <w:color w:val="000000"/>
              </w:rPr>
              <w:t> </w:t>
            </w:r>
          </w:p>
        </w:tc>
        <w:tc>
          <w:tcPr>
            <w:tcW w:w="1045" w:type="dxa"/>
            <w:tcBorders>
              <w:top w:val="nil"/>
              <w:left w:val="nil"/>
              <w:bottom w:val="double" w:sz="6" w:space="0" w:color="000000"/>
              <w:right w:val="nil"/>
            </w:tcBorders>
            <w:vAlign w:val="center"/>
            <w:hideMark/>
          </w:tcPr>
          <w:p w14:paraId="65EA74A9" w14:textId="77777777" w:rsidR="00E136BE" w:rsidRDefault="00E136BE" w:rsidP="00847858">
            <w:pPr>
              <w:jc w:val="center"/>
              <w:rPr>
                <w:color w:val="000000"/>
              </w:rPr>
            </w:pPr>
            <w:r>
              <w:rPr>
                <w:color w:val="000000"/>
              </w:rPr>
              <w:t> </w:t>
            </w:r>
          </w:p>
        </w:tc>
      </w:tr>
      <w:tr w:rsidR="00E136BE" w14:paraId="4E7EB41B" w14:textId="77777777" w:rsidTr="00E136BE">
        <w:trPr>
          <w:trHeight w:val="235"/>
          <w:jc w:val="center"/>
        </w:trPr>
        <w:tc>
          <w:tcPr>
            <w:tcW w:w="1497" w:type="dxa"/>
            <w:tcBorders>
              <w:top w:val="nil"/>
              <w:left w:val="nil"/>
              <w:bottom w:val="double" w:sz="6" w:space="0" w:color="000000"/>
              <w:right w:val="nil"/>
            </w:tcBorders>
            <w:vAlign w:val="center"/>
            <w:hideMark/>
          </w:tcPr>
          <w:p w14:paraId="1454283C" w14:textId="77777777" w:rsidR="00E136BE" w:rsidRDefault="00E136BE" w:rsidP="00847858">
            <w:pPr>
              <w:jc w:val="center"/>
              <w:rPr>
                <w:color w:val="000000"/>
              </w:rPr>
            </w:pPr>
            <w:r>
              <w:rPr>
                <w:color w:val="000000"/>
              </w:rPr>
              <w:t> </w:t>
            </w:r>
          </w:p>
        </w:tc>
        <w:tc>
          <w:tcPr>
            <w:tcW w:w="2980" w:type="dxa"/>
            <w:tcBorders>
              <w:top w:val="nil"/>
              <w:left w:val="nil"/>
              <w:bottom w:val="double" w:sz="6" w:space="0" w:color="000000"/>
              <w:right w:val="nil"/>
            </w:tcBorders>
            <w:vAlign w:val="center"/>
            <w:hideMark/>
          </w:tcPr>
          <w:p w14:paraId="7B983D04" w14:textId="77777777" w:rsidR="00E136BE" w:rsidRDefault="00E136BE" w:rsidP="00847858">
            <w:pPr>
              <w:jc w:val="center"/>
              <w:rPr>
                <w:color w:val="000000"/>
              </w:rPr>
            </w:pPr>
            <w:r>
              <w:rPr>
                <w:color w:val="000000"/>
              </w:rPr>
              <w:t> </w:t>
            </w:r>
          </w:p>
        </w:tc>
        <w:tc>
          <w:tcPr>
            <w:tcW w:w="900" w:type="dxa"/>
            <w:tcBorders>
              <w:top w:val="nil"/>
              <w:left w:val="nil"/>
              <w:bottom w:val="double" w:sz="6" w:space="0" w:color="000000"/>
              <w:right w:val="nil"/>
            </w:tcBorders>
            <w:vAlign w:val="center"/>
            <w:hideMark/>
          </w:tcPr>
          <w:p w14:paraId="1A69BDA3" w14:textId="77777777" w:rsidR="00E136BE" w:rsidRDefault="00E136BE" w:rsidP="00847858">
            <w:pPr>
              <w:jc w:val="center"/>
              <w:rPr>
                <w:color w:val="000000"/>
              </w:rPr>
            </w:pPr>
            <w:r>
              <w:rPr>
                <w:color w:val="000000"/>
              </w:rPr>
              <w:t> </w:t>
            </w:r>
          </w:p>
        </w:tc>
        <w:tc>
          <w:tcPr>
            <w:tcW w:w="1045" w:type="dxa"/>
            <w:tcBorders>
              <w:top w:val="nil"/>
              <w:left w:val="nil"/>
              <w:bottom w:val="double" w:sz="6" w:space="0" w:color="000000"/>
              <w:right w:val="nil"/>
            </w:tcBorders>
            <w:vAlign w:val="center"/>
            <w:hideMark/>
          </w:tcPr>
          <w:p w14:paraId="659CE15E" w14:textId="77777777" w:rsidR="00E136BE" w:rsidRDefault="00E136BE" w:rsidP="00847858">
            <w:pPr>
              <w:jc w:val="center"/>
              <w:rPr>
                <w:color w:val="000000"/>
              </w:rPr>
            </w:pPr>
            <w:r>
              <w:rPr>
                <w:color w:val="000000"/>
              </w:rPr>
              <w:t> </w:t>
            </w:r>
          </w:p>
        </w:tc>
      </w:tr>
      <w:tr w:rsidR="00E136BE" w14:paraId="3E979B49" w14:textId="77777777" w:rsidTr="00E136BE">
        <w:trPr>
          <w:trHeight w:val="1230"/>
          <w:jc w:val="center"/>
        </w:trPr>
        <w:tc>
          <w:tcPr>
            <w:tcW w:w="1497" w:type="dxa"/>
            <w:tcBorders>
              <w:top w:val="nil"/>
              <w:left w:val="double" w:sz="6" w:space="0" w:color="000000"/>
              <w:bottom w:val="double" w:sz="6" w:space="0" w:color="auto"/>
              <w:right w:val="double" w:sz="6" w:space="0" w:color="000000"/>
            </w:tcBorders>
            <w:vAlign w:val="center"/>
            <w:hideMark/>
          </w:tcPr>
          <w:p w14:paraId="6DD04B4B" w14:textId="343D1AC1" w:rsidR="00E136BE" w:rsidRDefault="00E136BE" w:rsidP="00847858">
            <w:pPr>
              <w:rPr>
                <w:b/>
                <w:bCs/>
                <w:color w:val="000000"/>
              </w:rPr>
            </w:pPr>
            <w:r>
              <w:rPr>
                <w:b/>
                <w:bCs/>
                <w:color w:val="000000"/>
              </w:rPr>
              <w:t>EX CAT. C / AREA ISTRUTTORI</w:t>
            </w:r>
          </w:p>
        </w:tc>
        <w:tc>
          <w:tcPr>
            <w:tcW w:w="2980" w:type="dxa"/>
            <w:tcBorders>
              <w:top w:val="nil"/>
              <w:left w:val="nil"/>
              <w:bottom w:val="double" w:sz="6" w:space="0" w:color="auto"/>
              <w:right w:val="double" w:sz="6" w:space="0" w:color="000000"/>
            </w:tcBorders>
            <w:vAlign w:val="center"/>
            <w:hideMark/>
          </w:tcPr>
          <w:p w14:paraId="6AE57421" w14:textId="0027F860" w:rsidR="00E136BE" w:rsidRDefault="00E136BE" w:rsidP="00847858">
            <w:pPr>
              <w:rPr>
                <w:color w:val="000000"/>
              </w:rPr>
            </w:pPr>
            <w:r>
              <w:rPr>
                <w:color w:val="000000"/>
              </w:rPr>
              <w:t>Istruttori amministrativi contabili - Istruttori Agenti P.L. – Istruttori tecnici – Istruttori Educatori nido</w:t>
            </w:r>
          </w:p>
        </w:tc>
        <w:tc>
          <w:tcPr>
            <w:tcW w:w="900" w:type="dxa"/>
            <w:tcBorders>
              <w:top w:val="nil"/>
              <w:left w:val="nil"/>
              <w:bottom w:val="double" w:sz="6" w:space="0" w:color="auto"/>
              <w:right w:val="double" w:sz="6" w:space="0" w:color="000000"/>
            </w:tcBorders>
            <w:vAlign w:val="center"/>
            <w:hideMark/>
          </w:tcPr>
          <w:p w14:paraId="7FA507CD" w14:textId="22BCC44F" w:rsidR="00E136BE" w:rsidRDefault="005A5ACF" w:rsidP="00847858">
            <w:pPr>
              <w:jc w:val="center"/>
              <w:rPr>
                <w:b/>
                <w:bCs/>
                <w:color w:val="000000"/>
              </w:rPr>
            </w:pPr>
            <w:r>
              <w:rPr>
                <w:b/>
                <w:bCs/>
                <w:color w:val="000000"/>
              </w:rPr>
              <w:t>0</w:t>
            </w:r>
          </w:p>
        </w:tc>
        <w:tc>
          <w:tcPr>
            <w:tcW w:w="1045" w:type="dxa"/>
            <w:tcBorders>
              <w:top w:val="nil"/>
              <w:left w:val="nil"/>
              <w:bottom w:val="double" w:sz="6" w:space="0" w:color="auto"/>
              <w:right w:val="double" w:sz="6" w:space="0" w:color="000000"/>
            </w:tcBorders>
            <w:vAlign w:val="center"/>
            <w:hideMark/>
          </w:tcPr>
          <w:p w14:paraId="79294060" w14:textId="2AFEF761" w:rsidR="00E136BE" w:rsidRDefault="005A5ACF" w:rsidP="00847858">
            <w:pPr>
              <w:jc w:val="center"/>
              <w:rPr>
                <w:b/>
                <w:bCs/>
                <w:color w:val="000000"/>
              </w:rPr>
            </w:pPr>
            <w:r>
              <w:rPr>
                <w:b/>
                <w:bCs/>
                <w:color w:val="000000"/>
              </w:rPr>
              <w:t>0</w:t>
            </w:r>
          </w:p>
        </w:tc>
      </w:tr>
      <w:tr w:rsidR="00E136BE" w14:paraId="342E479F" w14:textId="77777777" w:rsidTr="00E136BE">
        <w:trPr>
          <w:trHeight w:val="230"/>
          <w:jc w:val="center"/>
        </w:trPr>
        <w:tc>
          <w:tcPr>
            <w:tcW w:w="1497" w:type="dxa"/>
            <w:tcBorders>
              <w:top w:val="nil"/>
              <w:left w:val="nil"/>
              <w:bottom w:val="double" w:sz="6" w:space="0" w:color="auto"/>
              <w:right w:val="nil"/>
            </w:tcBorders>
            <w:vAlign w:val="center"/>
            <w:hideMark/>
          </w:tcPr>
          <w:p w14:paraId="592D1576" w14:textId="77777777" w:rsidR="00E136BE" w:rsidRDefault="00E136BE" w:rsidP="00847858">
            <w:pPr>
              <w:jc w:val="center"/>
              <w:rPr>
                <w:color w:val="000000"/>
              </w:rPr>
            </w:pPr>
            <w:r>
              <w:rPr>
                <w:color w:val="000000"/>
              </w:rPr>
              <w:t> </w:t>
            </w:r>
          </w:p>
        </w:tc>
        <w:tc>
          <w:tcPr>
            <w:tcW w:w="2980" w:type="dxa"/>
            <w:tcBorders>
              <w:top w:val="nil"/>
              <w:left w:val="nil"/>
              <w:bottom w:val="double" w:sz="6" w:space="0" w:color="auto"/>
              <w:right w:val="nil"/>
            </w:tcBorders>
            <w:vAlign w:val="center"/>
            <w:hideMark/>
          </w:tcPr>
          <w:p w14:paraId="319D36D2" w14:textId="77777777" w:rsidR="00E136BE" w:rsidRDefault="00E136BE" w:rsidP="00847858">
            <w:pPr>
              <w:jc w:val="center"/>
              <w:rPr>
                <w:color w:val="000000"/>
              </w:rPr>
            </w:pPr>
            <w:r>
              <w:rPr>
                <w:color w:val="000000"/>
              </w:rPr>
              <w:t> </w:t>
            </w:r>
          </w:p>
        </w:tc>
        <w:tc>
          <w:tcPr>
            <w:tcW w:w="900" w:type="dxa"/>
            <w:tcBorders>
              <w:top w:val="nil"/>
              <w:left w:val="nil"/>
              <w:bottom w:val="double" w:sz="6" w:space="0" w:color="auto"/>
              <w:right w:val="nil"/>
            </w:tcBorders>
            <w:vAlign w:val="center"/>
            <w:hideMark/>
          </w:tcPr>
          <w:p w14:paraId="774CDFCA" w14:textId="77777777" w:rsidR="00E136BE" w:rsidRDefault="00E136BE" w:rsidP="00847858">
            <w:pPr>
              <w:jc w:val="center"/>
              <w:rPr>
                <w:color w:val="000000"/>
              </w:rPr>
            </w:pPr>
            <w:r>
              <w:rPr>
                <w:color w:val="000000"/>
              </w:rPr>
              <w:t> </w:t>
            </w:r>
          </w:p>
        </w:tc>
        <w:tc>
          <w:tcPr>
            <w:tcW w:w="1045" w:type="dxa"/>
            <w:tcBorders>
              <w:top w:val="nil"/>
              <w:left w:val="nil"/>
              <w:bottom w:val="double" w:sz="6" w:space="0" w:color="auto"/>
              <w:right w:val="nil"/>
            </w:tcBorders>
            <w:vAlign w:val="center"/>
            <w:hideMark/>
          </w:tcPr>
          <w:p w14:paraId="5B324FDA" w14:textId="77777777" w:rsidR="00E136BE" w:rsidRDefault="00E136BE" w:rsidP="00847858">
            <w:pPr>
              <w:jc w:val="center"/>
              <w:rPr>
                <w:color w:val="000000"/>
              </w:rPr>
            </w:pPr>
            <w:r>
              <w:rPr>
                <w:color w:val="000000"/>
              </w:rPr>
              <w:t> </w:t>
            </w:r>
          </w:p>
        </w:tc>
      </w:tr>
      <w:tr w:rsidR="00E136BE" w14:paraId="3DC74EC5" w14:textId="77777777" w:rsidTr="00E136BE">
        <w:trPr>
          <w:trHeight w:val="1530"/>
          <w:jc w:val="center"/>
        </w:trPr>
        <w:tc>
          <w:tcPr>
            <w:tcW w:w="1497" w:type="dxa"/>
            <w:tcBorders>
              <w:top w:val="nil"/>
              <w:left w:val="double" w:sz="6" w:space="0" w:color="auto"/>
              <w:bottom w:val="double" w:sz="6" w:space="0" w:color="auto"/>
              <w:right w:val="double" w:sz="6" w:space="0" w:color="auto"/>
            </w:tcBorders>
            <w:vAlign w:val="center"/>
            <w:hideMark/>
          </w:tcPr>
          <w:p w14:paraId="6E7E680A" w14:textId="329C28AB" w:rsidR="00E136BE" w:rsidRDefault="00E136BE" w:rsidP="00847858">
            <w:pPr>
              <w:rPr>
                <w:b/>
                <w:bCs/>
                <w:color w:val="000000"/>
              </w:rPr>
            </w:pPr>
            <w:r>
              <w:rPr>
                <w:b/>
                <w:bCs/>
                <w:color w:val="000000"/>
              </w:rPr>
              <w:t>EX CAT. D / AREA FUNZIONARI ED E.Q.</w:t>
            </w:r>
          </w:p>
        </w:tc>
        <w:tc>
          <w:tcPr>
            <w:tcW w:w="2980" w:type="dxa"/>
            <w:tcBorders>
              <w:top w:val="nil"/>
              <w:left w:val="nil"/>
              <w:bottom w:val="double" w:sz="6" w:space="0" w:color="auto"/>
              <w:right w:val="double" w:sz="6" w:space="0" w:color="auto"/>
            </w:tcBorders>
            <w:vAlign w:val="center"/>
            <w:hideMark/>
          </w:tcPr>
          <w:p w14:paraId="026A3A34" w14:textId="23FFB008" w:rsidR="00E136BE" w:rsidRDefault="00E136BE" w:rsidP="00847858">
            <w:pPr>
              <w:rPr>
                <w:color w:val="000000"/>
              </w:rPr>
            </w:pPr>
            <w:r>
              <w:rPr>
                <w:color w:val="000000"/>
              </w:rPr>
              <w:t xml:space="preserve">Funzionari amministrativi/contabili, Funzionari Ispett. Polizia Loc.le, Funzionari Tecnici, </w:t>
            </w:r>
          </w:p>
        </w:tc>
        <w:tc>
          <w:tcPr>
            <w:tcW w:w="900" w:type="dxa"/>
            <w:tcBorders>
              <w:top w:val="nil"/>
              <w:left w:val="nil"/>
              <w:bottom w:val="double" w:sz="6" w:space="0" w:color="auto"/>
              <w:right w:val="double" w:sz="6" w:space="0" w:color="auto"/>
            </w:tcBorders>
            <w:vAlign w:val="center"/>
            <w:hideMark/>
          </w:tcPr>
          <w:p w14:paraId="40478607" w14:textId="77777777" w:rsidR="00E136BE" w:rsidRDefault="00E136BE" w:rsidP="00847858">
            <w:pPr>
              <w:jc w:val="center"/>
              <w:rPr>
                <w:b/>
                <w:bCs/>
                <w:color w:val="000000"/>
              </w:rPr>
            </w:pPr>
            <w:r>
              <w:rPr>
                <w:b/>
                <w:bCs/>
                <w:color w:val="000000"/>
              </w:rPr>
              <w:t>1</w:t>
            </w:r>
          </w:p>
        </w:tc>
        <w:tc>
          <w:tcPr>
            <w:tcW w:w="1045" w:type="dxa"/>
            <w:tcBorders>
              <w:top w:val="nil"/>
              <w:left w:val="nil"/>
              <w:bottom w:val="double" w:sz="6" w:space="0" w:color="auto"/>
              <w:right w:val="double" w:sz="6" w:space="0" w:color="auto"/>
            </w:tcBorders>
            <w:vAlign w:val="center"/>
            <w:hideMark/>
          </w:tcPr>
          <w:p w14:paraId="12ED89AC" w14:textId="77777777" w:rsidR="00E136BE" w:rsidRDefault="00E136BE" w:rsidP="00847858">
            <w:pPr>
              <w:jc w:val="center"/>
              <w:rPr>
                <w:b/>
                <w:bCs/>
                <w:color w:val="000000"/>
              </w:rPr>
            </w:pPr>
            <w:r>
              <w:rPr>
                <w:b/>
                <w:bCs/>
                <w:color w:val="000000"/>
              </w:rPr>
              <w:t>1</w:t>
            </w:r>
          </w:p>
        </w:tc>
      </w:tr>
      <w:tr w:rsidR="00E136BE" w14:paraId="4E8B0C01" w14:textId="77777777" w:rsidTr="00E136BE">
        <w:trPr>
          <w:trHeight w:val="185"/>
          <w:jc w:val="center"/>
        </w:trPr>
        <w:tc>
          <w:tcPr>
            <w:tcW w:w="1497" w:type="dxa"/>
            <w:tcBorders>
              <w:top w:val="nil"/>
              <w:left w:val="nil"/>
              <w:bottom w:val="double" w:sz="6" w:space="0" w:color="000000"/>
              <w:right w:val="nil"/>
            </w:tcBorders>
            <w:vAlign w:val="center"/>
            <w:hideMark/>
          </w:tcPr>
          <w:p w14:paraId="2225B9C1" w14:textId="77777777" w:rsidR="00E136BE" w:rsidRDefault="00E136BE" w:rsidP="00847858">
            <w:pPr>
              <w:jc w:val="center"/>
              <w:rPr>
                <w:color w:val="000000"/>
              </w:rPr>
            </w:pPr>
            <w:r>
              <w:rPr>
                <w:color w:val="000000"/>
              </w:rPr>
              <w:t> </w:t>
            </w:r>
          </w:p>
        </w:tc>
        <w:tc>
          <w:tcPr>
            <w:tcW w:w="2980" w:type="dxa"/>
            <w:tcBorders>
              <w:top w:val="nil"/>
              <w:left w:val="nil"/>
              <w:bottom w:val="double" w:sz="6" w:space="0" w:color="000000"/>
              <w:right w:val="nil"/>
            </w:tcBorders>
            <w:vAlign w:val="center"/>
            <w:hideMark/>
          </w:tcPr>
          <w:p w14:paraId="1C53E0F4" w14:textId="77777777" w:rsidR="00E136BE" w:rsidRDefault="00E136BE" w:rsidP="00847858">
            <w:pPr>
              <w:jc w:val="center"/>
              <w:rPr>
                <w:color w:val="000000"/>
              </w:rPr>
            </w:pPr>
            <w:r>
              <w:rPr>
                <w:color w:val="000000"/>
              </w:rPr>
              <w:t> </w:t>
            </w:r>
          </w:p>
        </w:tc>
        <w:tc>
          <w:tcPr>
            <w:tcW w:w="900" w:type="dxa"/>
            <w:tcBorders>
              <w:top w:val="nil"/>
              <w:left w:val="nil"/>
              <w:bottom w:val="double" w:sz="6" w:space="0" w:color="000000"/>
              <w:right w:val="nil"/>
            </w:tcBorders>
            <w:vAlign w:val="center"/>
            <w:hideMark/>
          </w:tcPr>
          <w:p w14:paraId="58E9C130" w14:textId="77777777" w:rsidR="00E136BE" w:rsidRDefault="00E136BE" w:rsidP="00847858">
            <w:pPr>
              <w:jc w:val="center"/>
              <w:rPr>
                <w:color w:val="000000"/>
              </w:rPr>
            </w:pPr>
            <w:r>
              <w:rPr>
                <w:color w:val="000000"/>
              </w:rPr>
              <w:t> </w:t>
            </w:r>
          </w:p>
        </w:tc>
        <w:tc>
          <w:tcPr>
            <w:tcW w:w="1045" w:type="dxa"/>
            <w:tcBorders>
              <w:top w:val="nil"/>
              <w:left w:val="nil"/>
              <w:bottom w:val="double" w:sz="6" w:space="0" w:color="000000"/>
              <w:right w:val="nil"/>
            </w:tcBorders>
            <w:vAlign w:val="center"/>
            <w:hideMark/>
          </w:tcPr>
          <w:p w14:paraId="1AA53265" w14:textId="77777777" w:rsidR="00E136BE" w:rsidRDefault="00E136BE" w:rsidP="00847858">
            <w:pPr>
              <w:jc w:val="center"/>
              <w:rPr>
                <w:color w:val="000000"/>
              </w:rPr>
            </w:pPr>
            <w:r>
              <w:rPr>
                <w:color w:val="000000"/>
              </w:rPr>
              <w:t> </w:t>
            </w:r>
          </w:p>
        </w:tc>
      </w:tr>
      <w:tr w:rsidR="00E136BE" w14:paraId="66D824DC" w14:textId="77777777" w:rsidTr="00E136BE">
        <w:trPr>
          <w:trHeight w:val="330"/>
          <w:jc w:val="center"/>
        </w:trPr>
        <w:tc>
          <w:tcPr>
            <w:tcW w:w="4477" w:type="dxa"/>
            <w:gridSpan w:val="2"/>
            <w:tcBorders>
              <w:top w:val="double" w:sz="6" w:space="0" w:color="000000"/>
              <w:left w:val="double" w:sz="6" w:space="0" w:color="auto"/>
              <w:bottom w:val="double" w:sz="6" w:space="0" w:color="auto"/>
              <w:right w:val="double" w:sz="6" w:space="0" w:color="000000"/>
            </w:tcBorders>
            <w:vAlign w:val="center"/>
            <w:hideMark/>
          </w:tcPr>
          <w:p w14:paraId="18AE94DA" w14:textId="77777777" w:rsidR="00E136BE" w:rsidRDefault="00E136BE" w:rsidP="00847858">
            <w:pPr>
              <w:jc w:val="center"/>
              <w:rPr>
                <w:b/>
                <w:bCs/>
                <w:color w:val="000000"/>
              </w:rPr>
            </w:pPr>
            <w:r>
              <w:rPr>
                <w:b/>
                <w:bCs/>
                <w:color w:val="000000"/>
              </w:rPr>
              <w:lastRenderedPageBreak/>
              <w:t>Totali</w:t>
            </w:r>
          </w:p>
        </w:tc>
        <w:tc>
          <w:tcPr>
            <w:tcW w:w="900" w:type="dxa"/>
            <w:tcBorders>
              <w:top w:val="nil"/>
              <w:left w:val="nil"/>
              <w:bottom w:val="double" w:sz="6" w:space="0" w:color="auto"/>
              <w:right w:val="double" w:sz="6" w:space="0" w:color="auto"/>
            </w:tcBorders>
            <w:vAlign w:val="center"/>
            <w:hideMark/>
          </w:tcPr>
          <w:p w14:paraId="7C912FC8" w14:textId="77777777" w:rsidR="00E136BE" w:rsidRDefault="00E136BE" w:rsidP="00847858">
            <w:pPr>
              <w:jc w:val="center"/>
              <w:rPr>
                <w:b/>
                <w:bCs/>
                <w:color w:val="000000"/>
              </w:rPr>
            </w:pPr>
            <w:r>
              <w:rPr>
                <w:b/>
                <w:bCs/>
                <w:color w:val="000000"/>
              </w:rPr>
              <w:t>3</w:t>
            </w:r>
          </w:p>
        </w:tc>
        <w:tc>
          <w:tcPr>
            <w:tcW w:w="1045" w:type="dxa"/>
            <w:tcBorders>
              <w:top w:val="nil"/>
              <w:left w:val="nil"/>
              <w:bottom w:val="double" w:sz="6" w:space="0" w:color="auto"/>
              <w:right w:val="double" w:sz="6" w:space="0" w:color="auto"/>
            </w:tcBorders>
            <w:vAlign w:val="center"/>
            <w:hideMark/>
          </w:tcPr>
          <w:p w14:paraId="68E2FB86" w14:textId="77777777" w:rsidR="00E136BE" w:rsidRDefault="00E136BE" w:rsidP="00847858">
            <w:pPr>
              <w:jc w:val="center"/>
              <w:rPr>
                <w:b/>
                <w:bCs/>
                <w:color w:val="000000"/>
              </w:rPr>
            </w:pPr>
            <w:r>
              <w:rPr>
                <w:b/>
                <w:bCs/>
                <w:color w:val="000000"/>
              </w:rPr>
              <w:t>3</w:t>
            </w:r>
          </w:p>
        </w:tc>
      </w:tr>
    </w:tbl>
    <w:p w14:paraId="26E64778" w14:textId="6B5084A2" w:rsidR="00AD2EAC" w:rsidRDefault="00AD2EAC" w:rsidP="00C63320">
      <w:pPr>
        <w:jc w:val="center"/>
        <w:rPr>
          <w:rFonts w:ascii="Times New Roman" w:hAnsi="Times New Roman"/>
          <w:b/>
          <w:bCs/>
          <w:sz w:val="28"/>
          <w:szCs w:val="24"/>
        </w:rPr>
      </w:pPr>
    </w:p>
    <w:p w14:paraId="0AFD23FB" w14:textId="083A5F5F" w:rsidR="00AD2EAC" w:rsidRPr="005A5ACF" w:rsidRDefault="005A5ACF" w:rsidP="005A5ACF">
      <w:pPr>
        <w:rPr>
          <w:color w:val="000000"/>
        </w:rPr>
      </w:pPr>
      <w:r w:rsidRPr="005A5ACF">
        <w:rPr>
          <w:color w:val="000000"/>
        </w:rPr>
        <w:t>*Dipendente cessato al 31/1/2023</w:t>
      </w:r>
    </w:p>
    <w:p w14:paraId="6067BCDC" w14:textId="77777777" w:rsidR="005A5ACF" w:rsidRPr="005A5ACF" w:rsidRDefault="005A5ACF" w:rsidP="005A5ACF">
      <w:pPr>
        <w:pStyle w:val="Paragrafoelenco"/>
        <w:rPr>
          <w:rFonts w:ascii="Times New Roman" w:hAnsi="Times New Roman"/>
          <w:b/>
          <w:bCs/>
          <w:sz w:val="28"/>
          <w:szCs w:val="24"/>
        </w:rPr>
      </w:pPr>
    </w:p>
    <w:p w14:paraId="60DE51A3" w14:textId="6040218D" w:rsidR="00BB1D80" w:rsidRPr="00C56DF8" w:rsidRDefault="00BB1D80" w:rsidP="00C63320">
      <w:pPr>
        <w:jc w:val="center"/>
        <w:rPr>
          <w:rFonts w:ascii="Times New Roman" w:hAnsi="Times New Roman"/>
          <w:b/>
          <w:bCs/>
          <w:sz w:val="28"/>
          <w:szCs w:val="24"/>
        </w:rPr>
      </w:pPr>
      <w:r w:rsidRPr="00C56DF8">
        <w:rPr>
          <w:rFonts w:ascii="Times New Roman" w:hAnsi="Times New Roman"/>
          <w:b/>
          <w:bCs/>
          <w:sz w:val="28"/>
          <w:szCs w:val="24"/>
        </w:rPr>
        <w:t>Sottosezione 3.3: Piano triennale dei fabbisogni di personale</w:t>
      </w:r>
      <w:r w:rsidR="00C63320" w:rsidRPr="00C56DF8">
        <w:rPr>
          <w:rFonts w:ascii="Times New Roman" w:hAnsi="Times New Roman"/>
          <w:b/>
          <w:bCs/>
          <w:sz w:val="28"/>
          <w:szCs w:val="24"/>
        </w:rPr>
        <w:t xml:space="preserve"> (PTFP)</w:t>
      </w:r>
    </w:p>
    <w:p w14:paraId="14337762" w14:textId="77777777" w:rsidR="00050833" w:rsidRPr="00C56DF8" w:rsidRDefault="00050833" w:rsidP="00C63320">
      <w:pPr>
        <w:jc w:val="center"/>
        <w:rPr>
          <w:rFonts w:ascii="Times New Roman" w:hAnsi="Times New Roman"/>
          <w:b/>
          <w:bCs/>
          <w:sz w:val="28"/>
          <w:szCs w:val="24"/>
        </w:rPr>
      </w:pPr>
    </w:p>
    <w:p w14:paraId="70B7CE60" w14:textId="0D07D893" w:rsidR="00EF5F74" w:rsidRPr="00C56DF8" w:rsidRDefault="00EF5F74" w:rsidP="00EF5F74">
      <w:pPr>
        <w:jc w:val="both"/>
        <w:rPr>
          <w:rFonts w:ascii="Times New Roman" w:hAnsi="Times New Roman"/>
          <w:i/>
          <w:iCs/>
          <w:color w:val="FF0000"/>
        </w:rPr>
      </w:pPr>
      <w:r w:rsidRPr="00C56DF8">
        <w:rPr>
          <w:rFonts w:ascii="Times New Roman" w:hAnsi="Times New Roman"/>
          <w:i/>
          <w:iCs/>
          <w:color w:val="FF0000"/>
        </w:rPr>
        <w:t>n.b.: la Sezione 3 del PIAO, secondo lo schema proposto dal decreto ministeriale 30 giugno 2022, prevede che siano implementate, prima del PTFP, la Sottosezione 3.2 (Organizzazione del lavoro agile), la cui definizione è rimessa all’ente.</w:t>
      </w:r>
    </w:p>
    <w:p w14:paraId="0498B080" w14:textId="77777777" w:rsidR="00EF5F74" w:rsidRPr="00C56DF8" w:rsidRDefault="00EF5F74" w:rsidP="00C63320">
      <w:pPr>
        <w:jc w:val="center"/>
        <w:rPr>
          <w:rFonts w:ascii="Times New Roman" w:hAnsi="Times New Roman"/>
          <w:b/>
          <w:bCs/>
          <w:sz w:val="28"/>
          <w:szCs w:val="24"/>
        </w:rPr>
      </w:pP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7"/>
      </w:tblGrid>
      <w:tr w:rsidR="00BC0BEC" w:rsidRPr="00C56DF8" w14:paraId="69E22259" w14:textId="77777777" w:rsidTr="00EF5F74">
        <w:trPr>
          <w:trHeight w:val="2508"/>
        </w:trPr>
        <w:tc>
          <w:tcPr>
            <w:tcW w:w="13997" w:type="dxa"/>
            <w:shd w:val="clear" w:color="auto" w:fill="EDEDED" w:themeFill="accent3" w:themeFillTint="33"/>
          </w:tcPr>
          <w:p w14:paraId="234CB196" w14:textId="77777777" w:rsidR="00BC0BEC" w:rsidRPr="00C56DF8" w:rsidRDefault="00BC0BEC" w:rsidP="00BC0BEC">
            <w:pPr>
              <w:ind w:left="3"/>
              <w:jc w:val="both"/>
              <w:rPr>
                <w:rFonts w:ascii="Times New Roman" w:hAnsi="Times New Roman"/>
              </w:rPr>
            </w:pPr>
            <w:r w:rsidRPr="00C56DF8">
              <w:rPr>
                <w:rFonts w:ascii="Times New Roman" w:hAnsi="Times New Roman"/>
              </w:rPr>
              <w:t>Riferimenti normativi:</w:t>
            </w:r>
          </w:p>
          <w:p w14:paraId="504587A1" w14:textId="6FBA287A" w:rsidR="00BC0BEC" w:rsidRPr="00C56DF8" w:rsidRDefault="00BC0BEC" w:rsidP="00BC0BEC">
            <w:pPr>
              <w:pStyle w:val="Paragrafoelenco"/>
              <w:numPr>
                <w:ilvl w:val="0"/>
                <w:numId w:val="1"/>
              </w:numPr>
              <w:ind w:left="723"/>
              <w:jc w:val="both"/>
              <w:rPr>
                <w:rFonts w:ascii="Times New Roman" w:hAnsi="Times New Roman"/>
              </w:rPr>
            </w:pPr>
            <w:r w:rsidRPr="00C56DF8">
              <w:rPr>
                <w:rFonts w:ascii="Times New Roman" w:hAnsi="Times New Roman"/>
              </w:rPr>
              <w:t xml:space="preserve">articolo 6 del d.l. 80/2021, convertito in legge 113/2021 (introduzione </w:t>
            </w:r>
            <w:r w:rsidR="0026513B" w:rsidRPr="00C56DF8">
              <w:rPr>
                <w:rFonts w:ascii="Times New Roman" w:hAnsi="Times New Roman"/>
              </w:rPr>
              <w:t xml:space="preserve">nell’ordinamento </w:t>
            </w:r>
            <w:r w:rsidRPr="00C56DF8">
              <w:rPr>
                <w:rFonts w:ascii="Times New Roman" w:hAnsi="Times New Roman"/>
              </w:rPr>
              <w:t>del PIAO</w:t>
            </w:r>
            <w:r w:rsidR="0026513B" w:rsidRPr="00C56DF8">
              <w:rPr>
                <w:rFonts w:ascii="Times New Roman" w:hAnsi="Times New Roman"/>
              </w:rPr>
              <w:t xml:space="preserve"> – Piano integrato di attività e organizzazione</w:t>
            </w:r>
            <w:r w:rsidRPr="00C56DF8">
              <w:rPr>
                <w:rFonts w:ascii="Times New Roman" w:hAnsi="Times New Roman"/>
              </w:rPr>
              <w:t>);</w:t>
            </w:r>
          </w:p>
          <w:p w14:paraId="167117EA" w14:textId="16650CE7" w:rsidR="00BC0BEC" w:rsidRPr="00C56DF8" w:rsidRDefault="00BC0BEC" w:rsidP="00BC0BEC">
            <w:pPr>
              <w:pStyle w:val="Paragrafoelenco"/>
              <w:numPr>
                <w:ilvl w:val="0"/>
                <w:numId w:val="1"/>
              </w:numPr>
              <w:ind w:left="723"/>
              <w:jc w:val="both"/>
              <w:rPr>
                <w:rFonts w:ascii="Times New Roman" w:hAnsi="Times New Roman"/>
              </w:rPr>
            </w:pPr>
            <w:r w:rsidRPr="00C56DF8">
              <w:rPr>
                <w:rFonts w:ascii="Times New Roman" w:hAnsi="Times New Roman"/>
              </w:rPr>
              <w:t>articolo 6 del d.lgs. 165/2001 (</w:t>
            </w:r>
            <w:r w:rsidR="0026513B" w:rsidRPr="00C56DF8">
              <w:rPr>
                <w:rFonts w:ascii="Times New Roman" w:hAnsi="Times New Roman"/>
              </w:rPr>
              <w:t>PTFP - P</w:t>
            </w:r>
            <w:r w:rsidRPr="00C56DF8">
              <w:rPr>
                <w:rFonts w:ascii="Times New Roman" w:hAnsi="Times New Roman"/>
              </w:rPr>
              <w:t>iano triennale dei fabbisogni di personale);</w:t>
            </w:r>
          </w:p>
          <w:p w14:paraId="0BAF191E" w14:textId="38999B8B" w:rsidR="00BC0BEC" w:rsidRPr="00C56DF8" w:rsidRDefault="00BC0BEC" w:rsidP="00BC0BEC">
            <w:pPr>
              <w:pStyle w:val="Paragrafoelenco"/>
              <w:numPr>
                <w:ilvl w:val="0"/>
                <w:numId w:val="1"/>
              </w:numPr>
              <w:ind w:left="723"/>
              <w:jc w:val="both"/>
              <w:rPr>
                <w:rFonts w:ascii="Times New Roman" w:hAnsi="Times New Roman"/>
              </w:rPr>
            </w:pPr>
            <w:r w:rsidRPr="00C56DF8">
              <w:rPr>
                <w:rFonts w:ascii="Times New Roman" w:hAnsi="Times New Roman"/>
              </w:rPr>
              <w:t>articolo 1, comma 1, lett. a) del d.p.r. 8</w:t>
            </w:r>
            <w:r w:rsidR="00171AA2" w:rsidRPr="00C56DF8">
              <w:rPr>
                <w:rFonts w:ascii="Times New Roman" w:hAnsi="Times New Roman"/>
              </w:rPr>
              <w:t>1</w:t>
            </w:r>
            <w:r w:rsidRPr="00C56DF8">
              <w:rPr>
                <w:rFonts w:ascii="Times New Roman" w:hAnsi="Times New Roman"/>
              </w:rPr>
              <w:t>/2022 (soppressione adempiment</w:t>
            </w:r>
            <w:r w:rsidR="0026513B" w:rsidRPr="00C56DF8">
              <w:rPr>
                <w:rFonts w:ascii="Times New Roman" w:hAnsi="Times New Roman"/>
              </w:rPr>
              <w:t>i correlati al</w:t>
            </w:r>
            <w:r w:rsidRPr="00C56DF8">
              <w:rPr>
                <w:rFonts w:ascii="Times New Roman" w:hAnsi="Times New Roman"/>
              </w:rPr>
              <w:t xml:space="preserve"> PTFP e assorbimento </w:t>
            </w:r>
            <w:r w:rsidR="0026513B" w:rsidRPr="00C56DF8">
              <w:rPr>
                <w:rFonts w:ascii="Times New Roman" w:hAnsi="Times New Roman"/>
              </w:rPr>
              <w:t xml:space="preserve">del medesimo </w:t>
            </w:r>
            <w:r w:rsidRPr="00C56DF8">
              <w:rPr>
                <w:rFonts w:ascii="Times New Roman" w:hAnsi="Times New Roman"/>
              </w:rPr>
              <w:t>nel PIAO);</w:t>
            </w:r>
          </w:p>
          <w:p w14:paraId="18B5A888" w14:textId="23C0700A" w:rsidR="00BC0BEC" w:rsidRPr="00C56DF8" w:rsidRDefault="00BC0BEC" w:rsidP="00BC0BEC">
            <w:pPr>
              <w:pStyle w:val="Paragrafoelenco"/>
              <w:numPr>
                <w:ilvl w:val="0"/>
                <w:numId w:val="1"/>
              </w:numPr>
              <w:ind w:left="723"/>
              <w:jc w:val="both"/>
              <w:rPr>
                <w:rFonts w:ascii="Times New Roman" w:hAnsi="Times New Roman"/>
              </w:rPr>
            </w:pPr>
            <w:r w:rsidRPr="00C56DF8">
              <w:rPr>
                <w:rFonts w:ascii="Times New Roman" w:hAnsi="Times New Roman"/>
              </w:rPr>
              <w:t>articolo 4, comma 1, lett. c) del</w:t>
            </w:r>
            <w:r w:rsidR="00740800" w:rsidRPr="00C56DF8">
              <w:rPr>
                <w:rFonts w:ascii="Times New Roman" w:hAnsi="Times New Roman"/>
              </w:rPr>
              <w:t xml:space="preserve"> de</w:t>
            </w:r>
            <w:r w:rsidRPr="00C56DF8">
              <w:rPr>
                <w:rFonts w:ascii="Times New Roman" w:hAnsi="Times New Roman"/>
              </w:rPr>
              <w:t xml:space="preserve">creto ministeriale </w:t>
            </w:r>
            <w:r w:rsidR="00BA323E" w:rsidRPr="00C56DF8">
              <w:rPr>
                <w:rFonts w:ascii="Times New Roman" w:hAnsi="Times New Roman"/>
              </w:rPr>
              <w:t>n. 132/2022</w:t>
            </w:r>
            <w:r w:rsidRPr="00C56DF8">
              <w:rPr>
                <w:rFonts w:ascii="Times New Roman" w:hAnsi="Times New Roman"/>
              </w:rPr>
              <w:t xml:space="preserve"> (contenente gli Schemi attuativi del PIAO);</w:t>
            </w:r>
          </w:p>
          <w:p w14:paraId="0C0F17CA" w14:textId="2EA46E4F" w:rsidR="00BC0BEC" w:rsidRPr="00C56DF8" w:rsidRDefault="005C3612" w:rsidP="00BC0BEC">
            <w:pPr>
              <w:pStyle w:val="Paragrafoelenco"/>
              <w:numPr>
                <w:ilvl w:val="0"/>
                <w:numId w:val="1"/>
              </w:numPr>
              <w:ind w:left="723"/>
              <w:jc w:val="both"/>
              <w:rPr>
                <w:rFonts w:ascii="Times New Roman" w:hAnsi="Times New Roman"/>
              </w:rPr>
            </w:pPr>
            <w:r w:rsidRPr="00C56DF8">
              <w:rPr>
                <w:rFonts w:ascii="Times New Roman" w:hAnsi="Times New Roman"/>
                <w:i/>
                <w:iCs/>
              </w:rPr>
              <w:t>(per i comuni, nell’esempio seguente)</w:t>
            </w:r>
            <w:r w:rsidRPr="00C56DF8">
              <w:rPr>
                <w:rFonts w:ascii="Times New Roman" w:hAnsi="Times New Roman"/>
              </w:rPr>
              <w:t xml:space="preserve"> </w:t>
            </w:r>
            <w:r w:rsidR="00BC0BEC" w:rsidRPr="00C56DF8">
              <w:rPr>
                <w:rFonts w:ascii="Times New Roman" w:hAnsi="Times New Roman"/>
              </w:rPr>
              <w:t>articolo 33, comma 2, del d.l. 34/2019, convertito in legge 58/2019 (determinazione della capacità assunzionale dei comuni);</w:t>
            </w:r>
          </w:p>
          <w:p w14:paraId="3A106491" w14:textId="59866145" w:rsidR="00BC0BEC" w:rsidRPr="00C56DF8" w:rsidRDefault="005C3612" w:rsidP="00BC0BEC">
            <w:pPr>
              <w:pStyle w:val="Paragrafoelenco"/>
              <w:numPr>
                <w:ilvl w:val="0"/>
                <w:numId w:val="1"/>
              </w:numPr>
              <w:ind w:left="723"/>
              <w:jc w:val="both"/>
              <w:rPr>
                <w:rFonts w:ascii="Times New Roman" w:hAnsi="Times New Roman"/>
              </w:rPr>
            </w:pPr>
            <w:r w:rsidRPr="00C56DF8">
              <w:rPr>
                <w:rFonts w:ascii="Times New Roman" w:hAnsi="Times New Roman"/>
                <w:i/>
                <w:iCs/>
              </w:rPr>
              <w:t>(per i comuni, nell’esempio seguente)</w:t>
            </w:r>
            <w:r w:rsidRPr="00C56DF8">
              <w:rPr>
                <w:rFonts w:ascii="Times New Roman" w:hAnsi="Times New Roman"/>
              </w:rPr>
              <w:t xml:space="preserve"> </w:t>
            </w:r>
            <w:r w:rsidR="00BC0BEC" w:rsidRPr="00C56DF8">
              <w:rPr>
                <w:rFonts w:ascii="Times New Roman" w:hAnsi="Times New Roman"/>
              </w:rPr>
              <w:t xml:space="preserve">d.m. 17/03/2020, attuativo dell’articolo 33, comma 2 (definizione dei parametri </w:t>
            </w:r>
            <w:r w:rsidR="00BC0BEC" w:rsidRPr="00C56DF8">
              <w:rPr>
                <w:rFonts w:ascii="Times New Roman" w:hAnsi="Times New Roman"/>
                <w:i/>
                <w:iCs/>
              </w:rPr>
              <w:t>soglia</w:t>
            </w:r>
            <w:r w:rsidR="00BC0BEC" w:rsidRPr="00C56DF8">
              <w:rPr>
                <w:rFonts w:ascii="Times New Roman" w:hAnsi="Times New Roman"/>
              </w:rPr>
              <w:t xml:space="preserve"> e della capacità assunzionale dei comuni);</w:t>
            </w:r>
          </w:p>
          <w:p w14:paraId="21EEF3C2" w14:textId="61DE6497" w:rsidR="00BC0BEC" w:rsidRPr="00C56DF8" w:rsidRDefault="00BC0BEC" w:rsidP="00BC0BEC">
            <w:pPr>
              <w:pStyle w:val="Paragrafoelenco"/>
              <w:numPr>
                <w:ilvl w:val="0"/>
                <w:numId w:val="1"/>
              </w:numPr>
              <w:ind w:left="723"/>
              <w:jc w:val="both"/>
              <w:rPr>
                <w:rFonts w:ascii="Times New Roman" w:hAnsi="Times New Roman"/>
              </w:rPr>
            </w:pPr>
            <w:r w:rsidRPr="00C56DF8">
              <w:rPr>
                <w:rFonts w:ascii="Times New Roman" w:hAnsi="Times New Roman"/>
              </w:rPr>
              <w:t xml:space="preserve">articolo 1, comma </w:t>
            </w:r>
            <w:r w:rsidR="00545CC1">
              <w:rPr>
                <w:rFonts w:ascii="Times New Roman" w:hAnsi="Times New Roman"/>
              </w:rPr>
              <w:t>562</w:t>
            </w:r>
            <w:r w:rsidRPr="00C56DF8">
              <w:rPr>
                <w:rFonts w:ascii="Times New Roman" w:hAnsi="Times New Roman"/>
              </w:rPr>
              <w:t>, della legge 296/2006 (tetto di spesa di personale in valore assoluto);</w:t>
            </w:r>
          </w:p>
          <w:p w14:paraId="1F122CE1" w14:textId="77777777" w:rsidR="00042DED" w:rsidRPr="00C56DF8" w:rsidRDefault="00BC0BEC" w:rsidP="00042DED">
            <w:pPr>
              <w:pStyle w:val="Paragrafoelenco"/>
              <w:numPr>
                <w:ilvl w:val="0"/>
                <w:numId w:val="1"/>
              </w:numPr>
              <w:ind w:left="723"/>
              <w:jc w:val="both"/>
              <w:rPr>
                <w:rFonts w:ascii="Times New Roman" w:hAnsi="Times New Roman"/>
                <w:sz w:val="24"/>
                <w:szCs w:val="22"/>
              </w:rPr>
            </w:pPr>
            <w:r w:rsidRPr="00C56DF8">
              <w:rPr>
                <w:rFonts w:ascii="Times New Roman" w:hAnsi="Times New Roman"/>
              </w:rPr>
              <w:t>linee guida in materia di programmazione dei fabbisogni di personale del Dipartimento per la Funzione Pubblica, emanate in data 08/05/2018 e integrate in data 02/08/2022;</w:t>
            </w:r>
          </w:p>
          <w:p w14:paraId="2B013F32" w14:textId="683A4912" w:rsidR="00BC0BEC" w:rsidRPr="00C56DF8" w:rsidRDefault="00BC0BEC" w:rsidP="00042DED">
            <w:pPr>
              <w:pStyle w:val="Paragrafoelenco"/>
              <w:numPr>
                <w:ilvl w:val="0"/>
                <w:numId w:val="1"/>
              </w:numPr>
              <w:ind w:left="723"/>
              <w:jc w:val="both"/>
              <w:rPr>
                <w:rFonts w:ascii="Times New Roman" w:hAnsi="Times New Roman"/>
                <w:sz w:val="28"/>
                <w:szCs w:val="24"/>
              </w:rPr>
            </w:pPr>
            <w:r w:rsidRPr="00C56DF8">
              <w:rPr>
                <w:rFonts w:ascii="Times New Roman" w:hAnsi="Times New Roman"/>
              </w:rPr>
              <w:t>articolo 33 del d.lgs. 165/2001 (verifica delle eccedenze di personale).</w:t>
            </w:r>
          </w:p>
        </w:tc>
      </w:tr>
    </w:tbl>
    <w:p w14:paraId="1A4AC051" w14:textId="77777777" w:rsidR="00D678C7" w:rsidRPr="00C56DF8" w:rsidRDefault="00D678C7" w:rsidP="00E834C0">
      <w:pPr>
        <w:jc w:val="both"/>
        <w:rPr>
          <w:rFonts w:ascii="Times New Roman" w:hAnsi="Times New Roman"/>
          <w:sz w:val="28"/>
          <w:szCs w:val="24"/>
        </w:rPr>
      </w:pPr>
    </w:p>
    <w:tbl>
      <w:tblPr>
        <w:tblStyle w:val="Grigliatabella"/>
        <w:tblW w:w="0" w:type="auto"/>
        <w:tblLook w:val="04A0" w:firstRow="1" w:lastRow="0" w:firstColumn="1" w:lastColumn="0" w:noHBand="0" w:noVBand="1"/>
      </w:tblPr>
      <w:tblGrid>
        <w:gridCol w:w="1621"/>
        <w:gridCol w:w="2599"/>
        <w:gridCol w:w="10057"/>
      </w:tblGrid>
      <w:tr w:rsidR="000C09B7" w:rsidRPr="00C56DF8" w14:paraId="60AE93A3" w14:textId="77777777" w:rsidTr="00EF5F74">
        <w:tc>
          <w:tcPr>
            <w:tcW w:w="1793" w:type="dxa"/>
            <w:vMerge w:val="restart"/>
          </w:tcPr>
          <w:p w14:paraId="6E8C75F4" w14:textId="367DB103" w:rsidR="000C09B7" w:rsidRPr="00C56DF8" w:rsidRDefault="000C09B7" w:rsidP="00E834C0">
            <w:pPr>
              <w:rPr>
                <w:rFonts w:ascii="Times New Roman" w:hAnsi="Times New Roman"/>
                <w:b/>
                <w:bCs/>
                <w:sz w:val="28"/>
                <w:szCs w:val="24"/>
              </w:rPr>
            </w:pPr>
            <w:r w:rsidRPr="00C56DF8">
              <w:rPr>
                <w:rFonts w:ascii="Times New Roman" w:hAnsi="Times New Roman"/>
                <w:b/>
                <w:bCs/>
                <w:sz w:val="28"/>
                <w:szCs w:val="24"/>
              </w:rPr>
              <w:t>3.3 Piano triennale dei fabbisogni di personale</w:t>
            </w:r>
          </w:p>
        </w:tc>
        <w:tc>
          <w:tcPr>
            <w:tcW w:w="3480" w:type="dxa"/>
            <w:shd w:val="clear" w:color="auto" w:fill="D5DCE4" w:themeFill="text2" w:themeFillTint="33"/>
          </w:tcPr>
          <w:p w14:paraId="0A30B7C1" w14:textId="77777777" w:rsidR="000C09B7" w:rsidRPr="00C56DF8" w:rsidRDefault="00E834C0" w:rsidP="00E834C0">
            <w:pPr>
              <w:jc w:val="both"/>
              <w:rPr>
                <w:rFonts w:ascii="Times New Roman" w:hAnsi="Times New Roman"/>
                <w:szCs w:val="22"/>
              </w:rPr>
            </w:pPr>
            <w:r w:rsidRPr="00C56DF8">
              <w:rPr>
                <w:rFonts w:ascii="Times New Roman" w:hAnsi="Times New Roman"/>
                <w:szCs w:val="22"/>
              </w:rPr>
              <w:t xml:space="preserve">3.3.1 </w:t>
            </w:r>
            <w:r w:rsidR="00656BA5" w:rsidRPr="00C56DF8">
              <w:rPr>
                <w:rFonts w:ascii="Times New Roman" w:hAnsi="Times New Roman"/>
                <w:szCs w:val="22"/>
              </w:rPr>
              <w:t>Rappresentazione della consistenza di personale al 31 dicembre dell’anno precedente</w:t>
            </w:r>
          </w:p>
          <w:p w14:paraId="1D95F8F8" w14:textId="4B1E2620" w:rsidR="00186844" w:rsidRPr="00C56DF8" w:rsidRDefault="00186844" w:rsidP="00E834C0">
            <w:pPr>
              <w:jc w:val="both"/>
              <w:rPr>
                <w:rFonts w:ascii="Times New Roman" w:hAnsi="Times New Roman"/>
                <w:sz w:val="24"/>
                <w:szCs w:val="24"/>
              </w:rPr>
            </w:pPr>
          </w:p>
        </w:tc>
        <w:tc>
          <w:tcPr>
            <w:tcW w:w="9004" w:type="dxa"/>
          </w:tcPr>
          <w:p w14:paraId="2C667814" w14:textId="77777777" w:rsidR="000C09B7" w:rsidRPr="00C56DF8" w:rsidRDefault="00805EF7" w:rsidP="00E834C0">
            <w:pPr>
              <w:jc w:val="both"/>
              <w:rPr>
                <w:rFonts w:ascii="Times New Roman" w:hAnsi="Times New Roman"/>
                <w:szCs w:val="22"/>
              </w:rPr>
            </w:pPr>
            <w:r w:rsidRPr="00C56DF8">
              <w:rPr>
                <w:rFonts w:ascii="Times New Roman" w:hAnsi="Times New Roman"/>
                <w:b/>
                <w:bCs/>
                <w:szCs w:val="22"/>
              </w:rPr>
              <w:t xml:space="preserve">DOTAZIONE ORGANICA COMPLESSIVA AL </w:t>
            </w:r>
            <w:r w:rsidRPr="004110D2">
              <w:rPr>
                <w:rFonts w:ascii="Times New Roman" w:hAnsi="Times New Roman"/>
                <w:b/>
                <w:bCs/>
                <w:szCs w:val="22"/>
              </w:rPr>
              <w:t>31/12/2022</w:t>
            </w:r>
            <w:r w:rsidRPr="004110D2">
              <w:rPr>
                <w:rFonts w:ascii="Times New Roman" w:hAnsi="Times New Roman"/>
                <w:szCs w:val="22"/>
              </w:rPr>
              <w:t>:</w:t>
            </w:r>
          </w:p>
          <w:p w14:paraId="5E4C30A5" w14:textId="77777777" w:rsidR="00B144D2" w:rsidRPr="00C56DF8" w:rsidRDefault="00B144D2" w:rsidP="00E834C0">
            <w:pPr>
              <w:jc w:val="both"/>
              <w:rPr>
                <w:rFonts w:ascii="Times New Roman" w:hAnsi="Times New Roman"/>
                <w:szCs w:val="22"/>
              </w:rPr>
            </w:pPr>
          </w:p>
          <w:p w14:paraId="5AA2F009" w14:textId="62A0D302" w:rsidR="00805EF7" w:rsidRPr="00C56DF8" w:rsidRDefault="00B96BFA" w:rsidP="00E834C0">
            <w:pPr>
              <w:jc w:val="both"/>
              <w:rPr>
                <w:rFonts w:ascii="Times New Roman" w:hAnsi="Times New Roman"/>
                <w:szCs w:val="22"/>
              </w:rPr>
            </w:pPr>
            <w:r w:rsidRPr="00C56DF8">
              <w:rPr>
                <w:rFonts w:ascii="Times New Roman" w:hAnsi="Times New Roman"/>
                <w:szCs w:val="22"/>
              </w:rPr>
              <w:t xml:space="preserve">TOTALE: </w:t>
            </w:r>
            <w:r w:rsidR="00805EF7" w:rsidRPr="00C56DF8">
              <w:rPr>
                <w:rFonts w:ascii="Times New Roman" w:hAnsi="Times New Roman"/>
                <w:szCs w:val="22"/>
              </w:rPr>
              <w:t xml:space="preserve">n. </w:t>
            </w:r>
            <w:r w:rsidR="005A5ACF">
              <w:rPr>
                <w:rFonts w:ascii="Times New Roman" w:hAnsi="Times New Roman"/>
                <w:szCs w:val="22"/>
              </w:rPr>
              <w:t>2</w:t>
            </w:r>
            <w:r w:rsidR="00805EF7" w:rsidRPr="00C56DF8">
              <w:rPr>
                <w:rFonts w:ascii="Times New Roman" w:hAnsi="Times New Roman"/>
                <w:szCs w:val="22"/>
              </w:rPr>
              <w:t xml:space="preserve"> unità</w:t>
            </w:r>
            <w:r w:rsidRPr="00C56DF8">
              <w:rPr>
                <w:rFonts w:ascii="Times New Roman" w:hAnsi="Times New Roman"/>
                <w:szCs w:val="22"/>
              </w:rPr>
              <w:t xml:space="preserve"> di personale</w:t>
            </w:r>
            <w:r w:rsidR="0016374B">
              <w:rPr>
                <w:rFonts w:ascii="Times New Roman" w:hAnsi="Times New Roman"/>
                <w:szCs w:val="22"/>
              </w:rPr>
              <w:t xml:space="preserve"> previste</w:t>
            </w:r>
            <w:r w:rsidR="00AD2EAC">
              <w:rPr>
                <w:rFonts w:ascii="Times New Roman" w:hAnsi="Times New Roman"/>
                <w:szCs w:val="22"/>
              </w:rPr>
              <w:t>, di cui n.</w:t>
            </w:r>
            <w:r w:rsidR="00D01425">
              <w:rPr>
                <w:rFonts w:ascii="Times New Roman" w:hAnsi="Times New Roman"/>
                <w:szCs w:val="22"/>
              </w:rPr>
              <w:t xml:space="preserve"> </w:t>
            </w:r>
            <w:r w:rsidR="005A5ACF">
              <w:rPr>
                <w:rFonts w:ascii="Times New Roman" w:hAnsi="Times New Roman"/>
                <w:szCs w:val="22"/>
              </w:rPr>
              <w:t>2</w:t>
            </w:r>
            <w:r w:rsidR="00AD2EAC">
              <w:rPr>
                <w:rFonts w:ascii="Times New Roman" w:hAnsi="Times New Roman"/>
                <w:szCs w:val="22"/>
              </w:rPr>
              <w:t xml:space="preserve"> dipendent</w:t>
            </w:r>
            <w:r w:rsidR="00832CE7">
              <w:rPr>
                <w:rFonts w:ascii="Times New Roman" w:hAnsi="Times New Roman"/>
                <w:szCs w:val="22"/>
              </w:rPr>
              <w:t>i</w:t>
            </w:r>
            <w:r w:rsidR="00AD2EAC">
              <w:rPr>
                <w:rFonts w:ascii="Times New Roman" w:hAnsi="Times New Roman"/>
                <w:szCs w:val="22"/>
              </w:rPr>
              <w:t xml:space="preserve"> dell’Ente.</w:t>
            </w:r>
          </w:p>
          <w:p w14:paraId="18DF1E17" w14:textId="77777777" w:rsidR="006C4E11" w:rsidRPr="00C56DF8" w:rsidRDefault="006C4E11" w:rsidP="00E834C0">
            <w:pPr>
              <w:jc w:val="both"/>
              <w:rPr>
                <w:rFonts w:ascii="Times New Roman" w:hAnsi="Times New Roman"/>
                <w:szCs w:val="22"/>
              </w:rPr>
            </w:pPr>
          </w:p>
          <w:p w14:paraId="5D486E63" w14:textId="52C47CB6" w:rsidR="00B96BFA" w:rsidRPr="00C56DF8" w:rsidRDefault="00B96BFA" w:rsidP="00B96BFA">
            <w:pPr>
              <w:jc w:val="both"/>
              <w:rPr>
                <w:rFonts w:ascii="Times New Roman" w:hAnsi="Times New Roman"/>
                <w:i/>
                <w:iCs/>
                <w:szCs w:val="22"/>
              </w:rPr>
            </w:pPr>
            <w:r w:rsidRPr="00C56DF8">
              <w:rPr>
                <w:rFonts w:ascii="Times New Roman" w:hAnsi="Times New Roman"/>
                <w:i/>
                <w:iCs/>
                <w:szCs w:val="22"/>
              </w:rPr>
              <w:t>di cui:</w:t>
            </w:r>
          </w:p>
          <w:p w14:paraId="3EBFC640" w14:textId="5B3A47A8" w:rsidR="00B96BFA" w:rsidRDefault="00B96BFA" w:rsidP="00B96BFA">
            <w:pPr>
              <w:jc w:val="both"/>
              <w:rPr>
                <w:rFonts w:ascii="Times New Roman" w:hAnsi="Times New Roman"/>
                <w:szCs w:val="22"/>
              </w:rPr>
            </w:pPr>
            <w:r w:rsidRPr="00C56DF8">
              <w:rPr>
                <w:rFonts w:ascii="Times New Roman" w:hAnsi="Times New Roman"/>
                <w:szCs w:val="22"/>
              </w:rPr>
              <w:t xml:space="preserve">n. </w:t>
            </w:r>
            <w:r w:rsidR="005A5ACF">
              <w:rPr>
                <w:rFonts w:ascii="Times New Roman" w:hAnsi="Times New Roman"/>
                <w:szCs w:val="22"/>
              </w:rPr>
              <w:t>2</w:t>
            </w:r>
            <w:r w:rsidRPr="00C56DF8">
              <w:rPr>
                <w:rFonts w:ascii="Times New Roman" w:hAnsi="Times New Roman"/>
                <w:szCs w:val="22"/>
              </w:rPr>
              <w:t xml:space="preserve"> a tempo indeterminato</w:t>
            </w:r>
            <w:r w:rsidR="005A5ACF">
              <w:rPr>
                <w:rFonts w:ascii="Times New Roman" w:hAnsi="Times New Roman"/>
                <w:szCs w:val="22"/>
              </w:rPr>
              <w:t xml:space="preserve"> (di cui n.1 cessato al 31.1.2023)</w:t>
            </w:r>
            <w:r w:rsidR="00B34CFE">
              <w:rPr>
                <w:rFonts w:ascii="Times New Roman" w:hAnsi="Times New Roman"/>
                <w:szCs w:val="22"/>
              </w:rPr>
              <w:t>:</w:t>
            </w:r>
          </w:p>
          <w:p w14:paraId="50920E21" w14:textId="7FD473EF" w:rsidR="006C4E11" w:rsidRDefault="00B34CFE" w:rsidP="00B96BFA">
            <w:pPr>
              <w:jc w:val="both"/>
              <w:rPr>
                <w:rFonts w:ascii="Times New Roman" w:hAnsi="Times New Roman"/>
                <w:szCs w:val="22"/>
              </w:rPr>
            </w:pPr>
            <w:r>
              <w:rPr>
                <w:rFonts w:ascii="Times New Roman" w:hAnsi="Times New Roman"/>
                <w:szCs w:val="22"/>
              </w:rPr>
              <w:t xml:space="preserve"> - </w:t>
            </w:r>
            <w:r w:rsidR="006C4E11" w:rsidRPr="00C56DF8">
              <w:rPr>
                <w:rFonts w:ascii="Times New Roman" w:hAnsi="Times New Roman"/>
                <w:szCs w:val="22"/>
              </w:rPr>
              <w:t xml:space="preserve">n. </w:t>
            </w:r>
            <w:r w:rsidR="005A5ACF">
              <w:rPr>
                <w:rFonts w:ascii="Times New Roman" w:hAnsi="Times New Roman"/>
                <w:szCs w:val="22"/>
              </w:rPr>
              <w:t>2</w:t>
            </w:r>
            <w:r w:rsidR="006C4E11" w:rsidRPr="00C56DF8">
              <w:rPr>
                <w:rFonts w:ascii="Times New Roman" w:hAnsi="Times New Roman"/>
                <w:szCs w:val="22"/>
              </w:rPr>
              <w:t xml:space="preserve"> a tempo pieno</w:t>
            </w:r>
            <w:r w:rsidR="005A5ACF">
              <w:rPr>
                <w:rFonts w:ascii="Times New Roman" w:hAnsi="Times New Roman"/>
                <w:szCs w:val="22"/>
              </w:rPr>
              <w:t>(di cui n.1 cessato al 31.1.2023)</w:t>
            </w:r>
          </w:p>
          <w:p w14:paraId="404E7F98" w14:textId="73A4C839" w:rsidR="00AD2EAC" w:rsidRPr="00C56DF8" w:rsidRDefault="00AD2EAC" w:rsidP="00B96BFA">
            <w:pPr>
              <w:jc w:val="both"/>
              <w:rPr>
                <w:rFonts w:ascii="Times New Roman" w:hAnsi="Times New Roman"/>
                <w:szCs w:val="22"/>
              </w:rPr>
            </w:pPr>
          </w:p>
          <w:p w14:paraId="0600222E" w14:textId="77777777" w:rsidR="00B96BFA" w:rsidRPr="00C56DF8" w:rsidRDefault="00B96BFA" w:rsidP="00B96BFA">
            <w:pPr>
              <w:jc w:val="both"/>
              <w:rPr>
                <w:rFonts w:ascii="Times New Roman" w:hAnsi="Times New Roman"/>
                <w:szCs w:val="22"/>
              </w:rPr>
            </w:pPr>
          </w:p>
          <w:p w14:paraId="6D70AC00" w14:textId="77777777" w:rsidR="007B5B0E" w:rsidRPr="00C56DF8" w:rsidRDefault="007B5B0E" w:rsidP="00E834C0">
            <w:pPr>
              <w:jc w:val="both"/>
              <w:rPr>
                <w:rFonts w:ascii="Times New Roman" w:hAnsi="Times New Roman"/>
                <w:szCs w:val="22"/>
              </w:rPr>
            </w:pPr>
          </w:p>
          <w:p w14:paraId="107114C5" w14:textId="6C68B40B" w:rsidR="00657259" w:rsidRPr="00C56DF8" w:rsidRDefault="00541BE9" w:rsidP="00E834C0">
            <w:pPr>
              <w:jc w:val="both"/>
              <w:rPr>
                <w:rFonts w:ascii="Times New Roman" w:hAnsi="Times New Roman"/>
                <w:b/>
                <w:bCs/>
                <w:szCs w:val="22"/>
              </w:rPr>
            </w:pPr>
            <w:r w:rsidRPr="00C56DF8">
              <w:rPr>
                <w:rFonts w:ascii="Times New Roman" w:hAnsi="Times New Roman"/>
                <w:b/>
                <w:bCs/>
                <w:szCs w:val="22"/>
              </w:rPr>
              <w:t>SUDDIVISIONE DEL PERSONALE NELLE AREE/CATEGORIE DI INQUADRAMENTO</w:t>
            </w:r>
          </w:p>
          <w:p w14:paraId="551C3DD9" w14:textId="77777777" w:rsidR="00657259" w:rsidRPr="00C56DF8" w:rsidRDefault="00657259" w:rsidP="00E834C0">
            <w:pPr>
              <w:jc w:val="both"/>
              <w:rPr>
                <w:rFonts w:ascii="Times New Roman" w:hAnsi="Times New Roman"/>
                <w:szCs w:val="22"/>
              </w:rPr>
            </w:pPr>
          </w:p>
          <w:p w14:paraId="01A0D6D4" w14:textId="77777777" w:rsidR="000929D5" w:rsidRPr="00C56DF8" w:rsidRDefault="000929D5" w:rsidP="00832CE7">
            <w:pPr>
              <w:jc w:val="both"/>
              <w:rPr>
                <w:rFonts w:ascii="Times New Roman" w:hAnsi="Times New Roman"/>
                <w:szCs w:val="22"/>
              </w:rPr>
            </w:pPr>
          </w:p>
          <w:p w14:paraId="2565E309" w14:textId="1CAA4861" w:rsidR="00832CE7" w:rsidRDefault="00832CE7" w:rsidP="00832CE7">
            <w:pPr>
              <w:jc w:val="both"/>
              <w:rPr>
                <w:rFonts w:ascii="Times New Roman" w:hAnsi="Times New Roman"/>
                <w:szCs w:val="22"/>
              </w:rPr>
            </w:pPr>
            <w:r w:rsidRPr="00C56DF8">
              <w:rPr>
                <w:rFonts w:ascii="Times New Roman" w:hAnsi="Times New Roman"/>
                <w:szCs w:val="22"/>
              </w:rPr>
              <w:t xml:space="preserve">n. </w:t>
            </w:r>
            <w:r w:rsidR="00E136BE">
              <w:rPr>
                <w:rFonts w:ascii="Times New Roman" w:hAnsi="Times New Roman"/>
                <w:szCs w:val="22"/>
              </w:rPr>
              <w:t>1</w:t>
            </w:r>
            <w:r w:rsidRPr="00C56DF8">
              <w:rPr>
                <w:rFonts w:ascii="Times New Roman" w:hAnsi="Times New Roman"/>
                <w:szCs w:val="22"/>
              </w:rPr>
              <w:t xml:space="preserve"> cat. </w:t>
            </w:r>
            <w:r w:rsidR="00A76F4E">
              <w:rPr>
                <w:rFonts w:ascii="Times New Roman" w:hAnsi="Times New Roman"/>
                <w:szCs w:val="22"/>
              </w:rPr>
              <w:t>D1</w:t>
            </w:r>
            <w:r w:rsidR="00E136BE">
              <w:rPr>
                <w:rFonts w:ascii="Times New Roman" w:hAnsi="Times New Roman"/>
                <w:szCs w:val="22"/>
              </w:rPr>
              <w:t xml:space="preserve"> </w:t>
            </w:r>
            <w:r w:rsidR="00E136BE">
              <w:rPr>
                <w:b/>
                <w:bCs/>
                <w:color w:val="000000"/>
              </w:rPr>
              <w:t xml:space="preserve">/ </w:t>
            </w:r>
            <w:r w:rsidR="00E136BE" w:rsidRPr="00E136BE">
              <w:rPr>
                <w:color w:val="000000"/>
              </w:rPr>
              <w:t xml:space="preserve">AREA </w:t>
            </w:r>
            <w:r w:rsidR="00E136BE">
              <w:rPr>
                <w:color w:val="000000"/>
              </w:rPr>
              <w:t>FUNZIONARI E D ELEVATE QUALIFICAZIONI</w:t>
            </w:r>
          </w:p>
          <w:p w14:paraId="432DE395" w14:textId="77777777" w:rsidR="000929D5" w:rsidRPr="00C56DF8" w:rsidRDefault="000929D5" w:rsidP="00832CE7">
            <w:pPr>
              <w:jc w:val="both"/>
              <w:rPr>
                <w:rFonts w:ascii="Times New Roman" w:hAnsi="Times New Roman"/>
                <w:szCs w:val="22"/>
              </w:rPr>
            </w:pPr>
          </w:p>
          <w:p w14:paraId="49B5319A" w14:textId="3B7FD927" w:rsidR="00E136BE" w:rsidRDefault="00832CE7" w:rsidP="00E136BE">
            <w:pPr>
              <w:jc w:val="both"/>
              <w:rPr>
                <w:rFonts w:ascii="Times New Roman" w:hAnsi="Times New Roman"/>
                <w:szCs w:val="22"/>
              </w:rPr>
            </w:pPr>
            <w:r w:rsidRPr="00E136BE">
              <w:rPr>
                <w:rFonts w:ascii="Times New Roman" w:hAnsi="Times New Roman"/>
                <w:szCs w:val="22"/>
              </w:rPr>
              <w:t xml:space="preserve">n. </w:t>
            </w:r>
            <w:r w:rsidR="005A5ACF">
              <w:rPr>
                <w:rFonts w:ascii="Times New Roman" w:hAnsi="Times New Roman"/>
                <w:szCs w:val="22"/>
              </w:rPr>
              <w:t>0</w:t>
            </w:r>
            <w:r w:rsidRPr="00E136BE">
              <w:rPr>
                <w:rFonts w:ascii="Times New Roman" w:hAnsi="Times New Roman"/>
                <w:szCs w:val="22"/>
              </w:rPr>
              <w:t xml:space="preserve"> cat. C</w:t>
            </w:r>
            <w:r w:rsidR="00E136BE" w:rsidRPr="00E136BE">
              <w:rPr>
                <w:rFonts w:ascii="Times New Roman" w:hAnsi="Times New Roman"/>
                <w:szCs w:val="22"/>
              </w:rPr>
              <w:t xml:space="preserve"> </w:t>
            </w:r>
            <w:r w:rsidR="00E136BE">
              <w:rPr>
                <w:b/>
                <w:bCs/>
                <w:color w:val="000000"/>
              </w:rPr>
              <w:t xml:space="preserve">/ </w:t>
            </w:r>
            <w:r w:rsidR="00E136BE" w:rsidRPr="00E136BE">
              <w:rPr>
                <w:color w:val="000000"/>
              </w:rPr>
              <w:t xml:space="preserve">AREA </w:t>
            </w:r>
            <w:r w:rsidR="00E136BE">
              <w:rPr>
                <w:color w:val="000000"/>
              </w:rPr>
              <w:t>ISTRUTTORI</w:t>
            </w:r>
          </w:p>
          <w:p w14:paraId="29BECCDE" w14:textId="77777777" w:rsidR="000929D5" w:rsidRPr="00E136BE" w:rsidRDefault="000929D5" w:rsidP="00832CE7">
            <w:pPr>
              <w:jc w:val="both"/>
              <w:rPr>
                <w:rFonts w:ascii="Times New Roman" w:hAnsi="Times New Roman"/>
                <w:szCs w:val="22"/>
              </w:rPr>
            </w:pPr>
          </w:p>
          <w:p w14:paraId="34ADAB20" w14:textId="59618F8F" w:rsidR="00A76F4E" w:rsidRDefault="00A76F4E" w:rsidP="00A76F4E">
            <w:pPr>
              <w:jc w:val="both"/>
              <w:rPr>
                <w:rFonts w:ascii="Times New Roman" w:hAnsi="Times New Roman"/>
                <w:szCs w:val="22"/>
              </w:rPr>
            </w:pPr>
            <w:r w:rsidRPr="00517935">
              <w:rPr>
                <w:rFonts w:ascii="Times New Roman" w:hAnsi="Times New Roman"/>
                <w:szCs w:val="22"/>
              </w:rPr>
              <w:t xml:space="preserve">n. </w:t>
            </w:r>
            <w:r w:rsidR="00E136BE">
              <w:rPr>
                <w:rFonts w:ascii="Times New Roman" w:hAnsi="Times New Roman"/>
                <w:szCs w:val="22"/>
              </w:rPr>
              <w:t>1</w:t>
            </w:r>
            <w:r w:rsidRPr="00517935">
              <w:rPr>
                <w:rFonts w:ascii="Times New Roman" w:hAnsi="Times New Roman"/>
                <w:szCs w:val="22"/>
              </w:rPr>
              <w:t xml:space="preserve"> cat. B1</w:t>
            </w:r>
            <w:r w:rsidR="00E136BE">
              <w:rPr>
                <w:rFonts w:ascii="Times New Roman" w:hAnsi="Times New Roman"/>
                <w:szCs w:val="22"/>
              </w:rPr>
              <w:t xml:space="preserve"> </w:t>
            </w:r>
            <w:r w:rsidR="00E136BE">
              <w:rPr>
                <w:b/>
                <w:bCs/>
                <w:color w:val="000000"/>
              </w:rPr>
              <w:t xml:space="preserve">/ </w:t>
            </w:r>
            <w:r w:rsidR="00E136BE" w:rsidRPr="00E136BE">
              <w:rPr>
                <w:color w:val="000000"/>
              </w:rPr>
              <w:t>AREA OPERATORI</w:t>
            </w:r>
            <w:r w:rsidR="00E136BE">
              <w:rPr>
                <w:color w:val="000000"/>
              </w:rPr>
              <w:t xml:space="preserve"> ESPERTI</w:t>
            </w:r>
            <w:r w:rsidR="005A5ACF">
              <w:rPr>
                <w:color w:val="000000"/>
              </w:rPr>
              <w:t xml:space="preserve"> </w:t>
            </w:r>
            <w:r w:rsidR="005A5ACF">
              <w:rPr>
                <w:rFonts w:ascii="Times New Roman" w:hAnsi="Times New Roman"/>
                <w:szCs w:val="22"/>
              </w:rPr>
              <w:t>(di cui n.1 cessato al 31.1.2023)</w:t>
            </w:r>
          </w:p>
          <w:p w14:paraId="2E4A00A7" w14:textId="77777777" w:rsidR="000929D5" w:rsidRDefault="000929D5" w:rsidP="00A76F4E">
            <w:pPr>
              <w:jc w:val="both"/>
              <w:rPr>
                <w:rFonts w:ascii="Times New Roman" w:hAnsi="Times New Roman"/>
                <w:szCs w:val="22"/>
              </w:rPr>
            </w:pPr>
          </w:p>
          <w:p w14:paraId="45613BF5" w14:textId="77777777" w:rsidR="00E136BE" w:rsidRDefault="002500D0" w:rsidP="00E136BE">
            <w:pPr>
              <w:jc w:val="both"/>
              <w:rPr>
                <w:rFonts w:ascii="Times New Roman" w:hAnsi="Times New Roman"/>
                <w:szCs w:val="22"/>
              </w:rPr>
            </w:pPr>
            <w:r>
              <w:rPr>
                <w:rFonts w:ascii="Times New Roman" w:hAnsi="Times New Roman"/>
                <w:szCs w:val="22"/>
              </w:rPr>
              <w:t xml:space="preserve">n. </w:t>
            </w:r>
            <w:r w:rsidR="00C30DAA">
              <w:rPr>
                <w:rFonts w:ascii="Times New Roman" w:hAnsi="Times New Roman"/>
                <w:szCs w:val="22"/>
              </w:rPr>
              <w:t>0</w:t>
            </w:r>
            <w:r>
              <w:rPr>
                <w:rFonts w:ascii="Times New Roman" w:hAnsi="Times New Roman"/>
                <w:szCs w:val="22"/>
              </w:rPr>
              <w:t xml:space="preserve"> cat. A</w:t>
            </w:r>
            <w:r w:rsidR="00E136BE">
              <w:rPr>
                <w:rFonts w:ascii="Times New Roman" w:hAnsi="Times New Roman"/>
                <w:szCs w:val="22"/>
              </w:rPr>
              <w:t xml:space="preserve"> </w:t>
            </w:r>
            <w:r w:rsidR="00E136BE">
              <w:rPr>
                <w:b/>
                <w:bCs/>
                <w:color w:val="000000"/>
              </w:rPr>
              <w:t xml:space="preserve">/ </w:t>
            </w:r>
            <w:r w:rsidR="00E136BE" w:rsidRPr="00E136BE">
              <w:rPr>
                <w:color w:val="000000"/>
              </w:rPr>
              <w:t>AREA OPERATORI</w:t>
            </w:r>
          </w:p>
          <w:p w14:paraId="168AA842" w14:textId="3E45F2E1" w:rsidR="002500D0" w:rsidRPr="00517935" w:rsidRDefault="002500D0" w:rsidP="00A76F4E">
            <w:pPr>
              <w:jc w:val="both"/>
              <w:rPr>
                <w:rFonts w:ascii="Times New Roman" w:hAnsi="Times New Roman"/>
                <w:szCs w:val="22"/>
              </w:rPr>
            </w:pPr>
          </w:p>
          <w:p w14:paraId="663B9ACE" w14:textId="77777777" w:rsidR="00832CE7" w:rsidRPr="00517935" w:rsidRDefault="00832CE7" w:rsidP="00E834C0">
            <w:pPr>
              <w:jc w:val="both"/>
              <w:rPr>
                <w:rFonts w:ascii="Times New Roman" w:hAnsi="Times New Roman"/>
                <w:szCs w:val="22"/>
              </w:rPr>
            </w:pPr>
          </w:p>
          <w:p w14:paraId="2DCB79D9" w14:textId="4582FE95" w:rsidR="00A76F4E" w:rsidRPr="00C30DAA" w:rsidRDefault="00541BE9" w:rsidP="00A76F4E">
            <w:pPr>
              <w:jc w:val="both"/>
              <w:rPr>
                <w:rFonts w:ascii="Times New Roman" w:hAnsi="Times New Roman"/>
                <w:i/>
                <w:iCs/>
                <w:szCs w:val="22"/>
              </w:rPr>
            </w:pPr>
            <w:r w:rsidRPr="00C56DF8">
              <w:rPr>
                <w:rFonts w:ascii="Times New Roman" w:hAnsi="Times New Roman"/>
                <w:i/>
                <w:iCs/>
                <w:szCs w:val="22"/>
              </w:rPr>
              <w:t>così articolate:</w:t>
            </w:r>
          </w:p>
          <w:p w14:paraId="1D64224C" w14:textId="77777777" w:rsidR="002216FF" w:rsidRPr="00C56DF8" w:rsidRDefault="002216FF" w:rsidP="00A76F4E">
            <w:pPr>
              <w:jc w:val="both"/>
              <w:rPr>
                <w:rFonts w:ascii="Times New Roman" w:hAnsi="Times New Roman"/>
                <w:szCs w:val="22"/>
              </w:rPr>
            </w:pPr>
          </w:p>
          <w:p w14:paraId="720E3373" w14:textId="00896AA2" w:rsidR="00A76F4E" w:rsidRDefault="003C2C55" w:rsidP="00A76F4E">
            <w:pPr>
              <w:jc w:val="both"/>
              <w:rPr>
                <w:rFonts w:ascii="Times New Roman" w:hAnsi="Times New Roman"/>
                <w:szCs w:val="22"/>
              </w:rPr>
            </w:pPr>
            <w:r>
              <w:rPr>
                <w:rFonts w:ascii="Times New Roman" w:hAnsi="Times New Roman"/>
                <w:szCs w:val="22"/>
              </w:rPr>
              <w:t xml:space="preserve">n. </w:t>
            </w:r>
            <w:r w:rsidR="00E136BE">
              <w:rPr>
                <w:rFonts w:ascii="Times New Roman" w:hAnsi="Times New Roman"/>
                <w:szCs w:val="22"/>
              </w:rPr>
              <w:t>1</w:t>
            </w:r>
            <w:r>
              <w:rPr>
                <w:rFonts w:ascii="Times New Roman" w:hAnsi="Times New Roman"/>
                <w:szCs w:val="22"/>
              </w:rPr>
              <w:t xml:space="preserve"> </w:t>
            </w:r>
            <w:r w:rsidR="00E136BE">
              <w:rPr>
                <w:rFonts w:ascii="Times New Roman" w:hAnsi="Times New Roman"/>
                <w:szCs w:val="22"/>
              </w:rPr>
              <w:t>AREA</w:t>
            </w:r>
            <w:r w:rsidR="002216FF">
              <w:rPr>
                <w:rFonts w:ascii="Times New Roman" w:hAnsi="Times New Roman"/>
                <w:szCs w:val="22"/>
              </w:rPr>
              <w:t xml:space="preserve"> </w:t>
            </w:r>
            <w:r w:rsidR="00E136BE">
              <w:rPr>
                <w:color w:val="000000"/>
              </w:rPr>
              <w:t xml:space="preserve">FUNZIONARI E D ELEVATE QUALIFICAZIONI </w:t>
            </w:r>
            <w:r w:rsidR="002216FF">
              <w:rPr>
                <w:rFonts w:ascii="Times New Roman" w:hAnsi="Times New Roman"/>
                <w:szCs w:val="22"/>
              </w:rPr>
              <w:t xml:space="preserve">: </w:t>
            </w:r>
            <w:r w:rsidR="00A76F4E" w:rsidRPr="00B46384">
              <w:rPr>
                <w:rFonts w:ascii="Times New Roman" w:hAnsi="Times New Roman"/>
                <w:szCs w:val="22"/>
              </w:rPr>
              <w:t xml:space="preserve">n. </w:t>
            </w:r>
            <w:r w:rsidR="00C30DAA">
              <w:rPr>
                <w:rFonts w:ascii="Times New Roman" w:hAnsi="Times New Roman"/>
                <w:szCs w:val="22"/>
              </w:rPr>
              <w:t>1</w:t>
            </w:r>
            <w:r w:rsidR="00A76F4E" w:rsidRPr="00B46384">
              <w:rPr>
                <w:rFonts w:ascii="Times New Roman" w:hAnsi="Times New Roman"/>
                <w:szCs w:val="22"/>
              </w:rPr>
              <w:t xml:space="preserve"> </w:t>
            </w:r>
            <w:r w:rsidR="002216FF">
              <w:rPr>
                <w:rFonts w:ascii="Times New Roman" w:hAnsi="Times New Roman"/>
                <w:szCs w:val="22"/>
              </w:rPr>
              <w:t>con profilo</w:t>
            </w:r>
            <w:r w:rsidR="00A76F4E" w:rsidRPr="00B46384">
              <w:rPr>
                <w:rFonts w:ascii="Times New Roman" w:hAnsi="Times New Roman"/>
                <w:szCs w:val="22"/>
              </w:rPr>
              <w:t xml:space="preserve"> </w:t>
            </w:r>
            <w:r w:rsidR="002216FF">
              <w:rPr>
                <w:rFonts w:ascii="Times New Roman" w:hAnsi="Times New Roman"/>
                <w:szCs w:val="22"/>
              </w:rPr>
              <w:t xml:space="preserve">di </w:t>
            </w:r>
            <w:r w:rsidR="00E136BE">
              <w:rPr>
                <w:rFonts w:ascii="Times New Roman" w:hAnsi="Times New Roman"/>
                <w:szCs w:val="22"/>
              </w:rPr>
              <w:t>Funzionario</w:t>
            </w:r>
            <w:r w:rsidR="00A76F4E" w:rsidRPr="00B46384">
              <w:rPr>
                <w:rFonts w:ascii="Times New Roman" w:hAnsi="Times New Roman"/>
                <w:szCs w:val="22"/>
              </w:rPr>
              <w:t xml:space="preserve"> </w:t>
            </w:r>
            <w:r w:rsidR="00E136BE">
              <w:rPr>
                <w:rFonts w:ascii="Times New Roman" w:hAnsi="Times New Roman"/>
                <w:szCs w:val="22"/>
              </w:rPr>
              <w:t>amministrativo/</w:t>
            </w:r>
            <w:r w:rsidR="00A76F4E" w:rsidRPr="00B46384">
              <w:rPr>
                <w:rFonts w:ascii="Times New Roman" w:hAnsi="Times New Roman"/>
                <w:szCs w:val="22"/>
              </w:rPr>
              <w:t>contabile</w:t>
            </w:r>
            <w:r w:rsidR="00A76F4E" w:rsidRPr="00A76F4E">
              <w:rPr>
                <w:rFonts w:ascii="Times New Roman" w:hAnsi="Times New Roman"/>
                <w:szCs w:val="22"/>
              </w:rPr>
              <w:t xml:space="preserve"> </w:t>
            </w:r>
          </w:p>
          <w:p w14:paraId="61EAE93B" w14:textId="77777777" w:rsidR="002216FF" w:rsidRPr="00C56DF8" w:rsidRDefault="002216FF" w:rsidP="00A76F4E">
            <w:pPr>
              <w:jc w:val="both"/>
              <w:rPr>
                <w:rFonts w:ascii="Times New Roman" w:hAnsi="Times New Roman"/>
                <w:szCs w:val="22"/>
              </w:rPr>
            </w:pPr>
          </w:p>
          <w:p w14:paraId="05E85DF0" w14:textId="71F92D31" w:rsidR="00A76F4E" w:rsidRDefault="00A76F4E" w:rsidP="00A76F4E">
            <w:pPr>
              <w:jc w:val="both"/>
              <w:rPr>
                <w:rFonts w:ascii="Times New Roman" w:hAnsi="Times New Roman"/>
                <w:szCs w:val="22"/>
              </w:rPr>
            </w:pPr>
            <w:r w:rsidRPr="00A76F4E">
              <w:rPr>
                <w:rFonts w:ascii="Times New Roman" w:hAnsi="Times New Roman"/>
                <w:szCs w:val="22"/>
              </w:rPr>
              <w:t xml:space="preserve">n. </w:t>
            </w:r>
            <w:r w:rsidR="0016374B">
              <w:rPr>
                <w:rFonts w:ascii="Times New Roman" w:hAnsi="Times New Roman"/>
                <w:szCs w:val="22"/>
              </w:rPr>
              <w:t>1</w:t>
            </w:r>
            <w:r w:rsidRPr="00A76F4E">
              <w:rPr>
                <w:rFonts w:ascii="Times New Roman" w:hAnsi="Times New Roman"/>
                <w:szCs w:val="22"/>
              </w:rPr>
              <w:t xml:space="preserve"> </w:t>
            </w:r>
            <w:r w:rsidR="00E136BE">
              <w:rPr>
                <w:rFonts w:ascii="Times New Roman" w:hAnsi="Times New Roman"/>
                <w:szCs w:val="22"/>
              </w:rPr>
              <w:t>AREA OPERATORI</w:t>
            </w:r>
            <w:r w:rsidRPr="003C2C55">
              <w:rPr>
                <w:rFonts w:ascii="Times New Roman" w:hAnsi="Times New Roman"/>
                <w:szCs w:val="22"/>
              </w:rPr>
              <w:t xml:space="preserve"> con profilo </w:t>
            </w:r>
            <w:r w:rsidR="0095058F" w:rsidRPr="003C2C55">
              <w:rPr>
                <w:rFonts w:ascii="Times New Roman" w:hAnsi="Times New Roman"/>
                <w:szCs w:val="22"/>
              </w:rPr>
              <w:t xml:space="preserve">n. </w:t>
            </w:r>
            <w:r w:rsidR="003C2C55" w:rsidRPr="003C2C55">
              <w:rPr>
                <w:rFonts w:ascii="Times New Roman" w:hAnsi="Times New Roman"/>
                <w:szCs w:val="22"/>
              </w:rPr>
              <w:t>1</w:t>
            </w:r>
            <w:r w:rsidR="0095058F" w:rsidRPr="003C2C55">
              <w:rPr>
                <w:rFonts w:ascii="Times New Roman" w:hAnsi="Times New Roman"/>
                <w:szCs w:val="22"/>
              </w:rPr>
              <w:t xml:space="preserve"> </w:t>
            </w:r>
            <w:r w:rsidR="00E136BE">
              <w:rPr>
                <w:rFonts w:ascii="Times New Roman" w:hAnsi="Times New Roman"/>
                <w:szCs w:val="22"/>
              </w:rPr>
              <w:t>Operaio</w:t>
            </w:r>
            <w:r w:rsidR="005A5ACF">
              <w:rPr>
                <w:rFonts w:ascii="Times New Roman" w:hAnsi="Times New Roman"/>
                <w:szCs w:val="22"/>
              </w:rPr>
              <w:t xml:space="preserve"> </w:t>
            </w:r>
            <w:r w:rsidR="005A5ACF">
              <w:rPr>
                <w:rFonts w:ascii="Times New Roman" w:hAnsi="Times New Roman"/>
                <w:szCs w:val="22"/>
              </w:rPr>
              <w:t>(di cui n.1 cessato al 31.1.2023):</w:t>
            </w:r>
          </w:p>
          <w:p w14:paraId="695613C2" w14:textId="77777777" w:rsidR="002216FF" w:rsidRPr="00A76F4E" w:rsidRDefault="002216FF" w:rsidP="00A76F4E">
            <w:pPr>
              <w:jc w:val="both"/>
              <w:rPr>
                <w:rFonts w:ascii="Times New Roman" w:hAnsi="Times New Roman"/>
                <w:szCs w:val="22"/>
              </w:rPr>
            </w:pPr>
          </w:p>
          <w:p w14:paraId="4F119721" w14:textId="682516FF" w:rsidR="00891CB6" w:rsidRPr="00C56DF8" w:rsidRDefault="00891CB6" w:rsidP="00A76F4E">
            <w:pPr>
              <w:jc w:val="both"/>
              <w:rPr>
                <w:rFonts w:ascii="Times New Roman" w:hAnsi="Times New Roman"/>
                <w:szCs w:val="22"/>
              </w:rPr>
            </w:pPr>
          </w:p>
          <w:p w14:paraId="0D125329" w14:textId="77777777" w:rsidR="00891CB6" w:rsidRPr="00C56DF8" w:rsidRDefault="00891CB6" w:rsidP="00E834C0">
            <w:pPr>
              <w:jc w:val="both"/>
              <w:rPr>
                <w:rFonts w:ascii="Times New Roman" w:hAnsi="Times New Roman"/>
                <w:szCs w:val="22"/>
              </w:rPr>
            </w:pPr>
          </w:p>
          <w:p w14:paraId="0E0EC4AE" w14:textId="7BA17A87" w:rsidR="00657259" w:rsidRPr="00AD2EAC" w:rsidRDefault="00AD2EAC" w:rsidP="00E834C0">
            <w:pPr>
              <w:jc w:val="both"/>
              <w:rPr>
                <w:rFonts w:ascii="Times New Roman" w:hAnsi="Times New Roman"/>
                <w:i/>
                <w:iCs/>
                <w:szCs w:val="22"/>
              </w:rPr>
            </w:pPr>
            <w:r w:rsidRPr="00AD2EAC">
              <w:rPr>
                <w:rFonts w:ascii="Times New Roman" w:hAnsi="Times New Roman"/>
                <w:i/>
                <w:iCs/>
                <w:szCs w:val="22"/>
              </w:rPr>
              <w:t>I</w:t>
            </w:r>
            <w:r w:rsidR="00891CB6" w:rsidRPr="00AD2EAC">
              <w:rPr>
                <w:rFonts w:ascii="Times New Roman" w:hAnsi="Times New Roman"/>
                <w:i/>
                <w:iCs/>
                <w:szCs w:val="22"/>
              </w:rPr>
              <w:t>n esito alla riclassificazione del personale</w:t>
            </w:r>
            <w:r w:rsidR="00B0380D" w:rsidRPr="00AD2EAC">
              <w:rPr>
                <w:rFonts w:ascii="Times New Roman" w:hAnsi="Times New Roman"/>
                <w:i/>
                <w:iCs/>
                <w:szCs w:val="22"/>
              </w:rPr>
              <w:t xml:space="preserve">, che </w:t>
            </w:r>
            <w:r w:rsidR="00E136BE">
              <w:rPr>
                <w:rFonts w:ascii="Times New Roman" w:hAnsi="Times New Roman"/>
                <w:i/>
                <w:iCs/>
                <w:szCs w:val="22"/>
              </w:rPr>
              <w:t xml:space="preserve">e entrata </w:t>
            </w:r>
            <w:r w:rsidR="00127148" w:rsidRPr="00AD2EAC">
              <w:rPr>
                <w:rFonts w:ascii="Times New Roman" w:hAnsi="Times New Roman"/>
                <w:i/>
                <w:iCs/>
                <w:szCs w:val="22"/>
              </w:rPr>
              <w:t xml:space="preserve">in vigore il </w:t>
            </w:r>
            <w:r w:rsidR="00D07F86" w:rsidRPr="00AD2EAC">
              <w:rPr>
                <w:rFonts w:ascii="Times New Roman" w:hAnsi="Times New Roman"/>
                <w:i/>
                <w:iCs/>
                <w:szCs w:val="22"/>
              </w:rPr>
              <w:t>primo</w:t>
            </w:r>
            <w:r w:rsidR="00127148" w:rsidRPr="00AD2EAC">
              <w:rPr>
                <w:rFonts w:ascii="Times New Roman" w:hAnsi="Times New Roman"/>
                <w:i/>
                <w:iCs/>
                <w:szCs w:val="22"/>
              </w:rPr>
              <w:t xml:space="preserve"> giorno del quinto mese successivo alla sottoscrizione definitiva del CCNL 2019/2021</w:t>
            </w:r>
            <w:r w:rsidR="00D00604">
              <w:rPr>
                <w:rFonts w:ascii="Times New Roman" w:hAnsi="Times New Roman"/>
                <w:i/>
                <w:iCs/>
                <w:szCs w:val="22"/>
              </w:rPr>
              <w:t xml:space="preserve"> ovvero il 1.4.2023</w:t>
            </w:r>
            <w:r w:rsidR="00127148" w:rsidRPr="00AD2EAC">
              <w:rPr>
                <w:rFonts w:ascii="Times New Roman" w:hAnsi="Times New Roman"/>
                <w:i/>
                <w:iCs/>
                <w:szCs w:val="22"/>
              </w:rPr>
              <w:t xml:space="preserve">, </w:t>
            </w:r>
            <w:r w:rsidR="00E136BE">
              <w:rPr>
                <w:rFonts w:ascii="Times New Roman" w:hAnsi="Times New Roman"/>
                <w:i/>
                <w:iCs/>
                <w:szCs w:val="22"/>
              </w:rPr>
              <w:t>sono stati sostituiti</w:t>
            </w:r>
            <w:r w:rsidR="00127148" w:rsidRPr="00AD2EAC">
              <w:rPr>
                <w:rFonts w:ascii="Times New Roman" w:hAnsi="Times New Roman"/>
                <w:i/>
                <w:iCs/>
                <w:szCs w:val="22"/>
              </w:rPr>
              <w:t xml:space="preserve"> </w:t>
            </w:r>
            <w:r w:rsidR="000B2A6D" w:rsidRPr="00AD2EAC">
              <w:rPr>
                <w:rFonts w:ascii="Times New Roman" w:hAnsi="Times New Roman"/>
                <w:i/>
                <w:iCs/>
                <w:szCs w:val="22"/>
              </w:rPr>
              <w:t xml:space="preserve">- </w:t>
            </w:r>
            <w:r w:rsidR="00176E37" w:rsidRPr="00AD2EAC">
              <w:rPr>
                <w:rFonts w:ascii="Times New Roman" w:hAnsi="Times New Roman"/>
                <w:i/>
                <w:iCs/>
                <w:szCs w:val="22"/>
              </w:rPr>
              <w:t>nella declinazione della dotazione organica</w:t>
            </w:r>
            <w:r w:rsidR="000B2A6D" w:rsidRPr="00AD2EAC">
              <w:rPr>
                <w:rFonts w:ascii="Times New Roman" w:hAnsi="Times New Roman"/>
                <w:i/>
                <w:iCs/>
                <w:szCs w:val="22"/>
              </w:rPr>
              <w:t xml:space="preserve"> - </w:t>
            </w:r>
            <w:r w:rsidR="00127148" w:rsidRPr="00AD2EAC">
              <w:rPr>
                <w:rFonts w:ascii="Times New Roman" w:hAnsi="Times New Roman"/>
                <w:i/>
                <w:iCs/>
                <w:szCs w:val="22"/>
              </w:rPr>
              <w:t>alle categorie (A, B, C, D)</w:t>
            </w:r>
            <w:r w:rsidR="00984527" w:rsidRPr="00AD2EAC">
              <w:rPr>
                <w:rFonts w:ascii="Times New Roman" w:hAnsi="Times New Roman"/>
                <w:i/>
                <w:iCs/>
                <w:szCs w:val="22"/>
              </w:rPr>
              <w:t>, le nuove quattro Aree (Operatori, Operatori esperti, Istruttori, Funzionari ed Elevata Qualificazione)</w:t>
            </w:r>
            <w:r w:rsidR="00176E37" w:rsidRPr="00AD2EAC">
              <w:rPr>
                <w:rFonts w:ascii="Times New Roman" w:hAnsi="Times New Roman"/>
                <w:i/>
                <w:iCs/>
                <w:szCs w:val="22"/>
              </w:rPr>
              <w:t xml:space="preserve"> </w:t>
            </w:r>
            <w:r w:rsidRPr="00AD2EAC">
              <w:rPr>
                <w:rFonts w:ascii="Times New Roman" w:hAnsi="Times New Roman"/>
                <w:i/>
                <w:iCs/>
                <w:szCs w:val="22"/>
              </w:rPr>
              <w:t>.</w:t>
            </w:r>
          </w:p>
          <w:p w14:paraId="1D7D0827" w14:textId="5D367AB8" w:rsidR="00657259" w:rsidRPr="00C56DF8" w:rsidRDefault="00657259" w:rsidP="00E834C0">
            <w:pPr>
              <w:jc w:val="both"/>
              <w:rPr>
                <w:rFonts w:ascii="Times New Roman" w:hAnsi="Times New Roman"/>
                <w:szCs w:val="22"/>
              </w:rPr>
            </w:pPr>
          </w:p>
        </w:tc>
      </w:tr>
      <w:tr w:rsidR="000C09B7" w:rsidRPr="00C56DF8" w14:paraId="0CAF560B" w14:textId="77777777" w:rsidTr="00EF5F74">
        <w:tc>
          <w:tcPr>
            <w:tcW w:w="1793" w:type="dxa"/>
            <w:vMerge/>
          </w:tcPr>
          <w:p w14:paraId="2462BB65" w14:textId="77777777" w:rsidR="000C09B7" w:rsidRPr="00C56DF8" w:rsidRDefault="000C09B7" w:rsidP="00E834C0">
            <w:pPr>
              <w:jc w:val="both"/>
              <w:rPr>
                <w:rFonts w:ascii="Times New Roman" w:hAnsi="Times New Roman"/>
                <w:sz w:val="28"/>
                <w:szCs w:val="24"/>
              </w:rPr>
            </w:pPr>
          </w:p>
        </w:tc>
        <w:tc>
          <w:tcPr>
            <w:tcW w:w="3480" w:type="dxa"/>
            <w:shd w:val="clear" w:color="auto" w:fill="D9E2F3" w:themeFill="accent1" w:themeFillTint="33"/>
          </w:tcPr>
          <w:p w14:paraId="02513A86" w14:textId="77777777" w:rsidR="000C09B7" w:rsidRPr="00C56DF8" w:rsidRDefault="00E834C0" w:rsidP="00E834C0">
            <w:pPr>
              <w:jc w:val="both"/>
              <w:rPr>
                <w:rFonts w:ascii="Times New Roman" w:hAnsi="Times New Roman"/>
                <w:szCs w:val="22"/>
              </w:rPr>
            </w:pPr>
            <w:r w:rsidRPr="00C56DF8">
              <w:rPr>
                <w:rFonts w:ascii="Times New Roman" w:hAnsi="Times New Roman"/>
                <w:szCs w:val="22"/>
              </w:rPr>
              <w:t xml:space="preserve">3.3.2 </w:t>
            </w:r>
            <w:r w:rsidR="007B5B0E" w:rsidRPr="00C56DF8">
              <w:rPr>
                <w:rFonts w:ascii="Times New Roman" w:hAnsi="Times New Roman"/>
                <w:szCs w:val="22"/>
              </w:rPr>
              <w:t>Programmazione strategica delle risorse umane</w:t>
            </w:r>
          </w:p>
          <w:p w14:paraId="7ABBC9BC" w14:textId="2AC94B0B" w:rsidR="00F87C6B" w:rsidRPr="00C56DF8" w:rsidRDefault="00F87C6B" w:rsidP="00D01A3D">
            <w:pPr>
              <w:pStyle w:val="Paragrafoelenco"/>
              <w:jc w:val="both"/>
              <w:rPr>
                <w:rFonts w:ascii="Times New Roman" w:hAnsi="Times New Roman"/>
                <w:i/>
                <w:iCs/>
                <w:color w:val="FF0000"/>
                <w:szCs w:val="22"/>
              </w:rPr>
            </w:pPr>
          </w:p>
        </w:tc>
        <w:tc>
          <w:tcPr>
            <w:tcW w:w="9004" w:type="dxa"/>
          </w:tcPr>
          <w:p w14:paraId="6C593F0D" w14:textId="36D4BFDC" w:rsidR="000C09B7" w:rsidRPr="00C56DF8" w:rsidRDefault="00AD109A" w:rsidP="00653FAD">
            <w:pPr>
              <w:pStyle w:val="Paragrafoelenco"/>
              <w:numPr>
                <w:ilvl w:val="0"/>
                <w:numId w:val="3"/>
              </w:numPr>
              <w:jc w:val="both"/>
              <w:rPr>
                <w:rFonts w:ascii="Times New Roman" w:hAnsi="Times New Roman"/>
                <w:b/>
                <w:bCs/>
                <w:sz w:val="24"/>
                <w:szCs w:val="24"/>
              </w:rPr>
            </w:pPr>
            <w:r w:rsidRPr="00C56DF8">
              <w:rPr>
                <w:rFonts w:ascii="Times New Roman" w:hAnsi="Times New Roman"/>
                <w:b/>
                <w:bCs/>
                <w:sz w:val="24"/>
                <w:szCs w:val="24"/>
              </w:rPr>
              <w:t>capacità assunzionale calcolata sulla base dei vigenti vincoli di spesa:</w:t>
            </w:r>
          </w:p>
          <w:p w14:paraId="686E691D" w14:textId="77777777" w:rsidR="00727DB2" w:rsidRPr="00C56DF8" w:rsidRDefault="00727DB2" w:rsidP="00E834C0">
            <w:pPr>
              <w:pStyle w:val="Paragrafoelenco"/>
              <w:jc w:val="both"/>
              <w:rPr>
                <w:rFonts w:ascii="Times New Roman" w:hAnsi="Times New Roman"/>
                <w:b/>
                <w:bCs/>
                <w:szCs w:val="22"/>
              </w:rPr>
            </w:pPr>
          </w:p>
          <w:p w14:paraId="00868539" w14:textId="13ACD4DA" w:rsidR="002C55B5" w:rsidRPr="00C56DF8" w:rsidRDefault="002C55B5" w:rsidP="00E834C0">
            <w:pPr>
              <w:pStyle w:val="Paragrafoelenco"/>
              <w:jc w:val="both"/>
              <w:rPr>
                <w:rFonts w:ascii="Times New Roman" w:hAnsi="Times New Roman"/>
                <w:b/>
                <w:bCs/>
                <w:szCs w:val="22"/>
              </w:rPr>
            </w:pPr>
            <w:r w:rsidRPr="00C56DF8">
              <w:rPr>
                <w:rFonts w:ascii="Times New Roman" w:hAnsi="Times New Roman"/>
                <w:b/>
                <w:bCs/>
                <w:szCs w:val="22"/>
              </w:rPr>
              <w:t xml:space="preserve">a.1) </w:t>
            </w:r>
            <w:r w:rsidR="006B5E78" w:rsidRPr="00C56DF8">
              <w:rPr>
                <w:rFonts w:ascii="Times New Roman" w:hAnsi="Times New Roman"/>
                <w:b/>
                <w:bCs/>
                <w:szCs w:val="22"/>
              </w:rPr>
              <w:t>verifica degli spazi assunzionali a tempo indeterminato</w:t>
            </w:r>
          </w:p>
          <w:p w14:paraId="1CD27A7A" w14:textId="77777777" w:rsidR="00727DB2" w:rsidRPr="00C56DF8" w:rsidRDefault="00727DB2" w:rsidP="00727DB2">
            <w:pPr>
              <w:pStyle w:val="Paragrafoelenco"/>
              <w:jc w:val="both"/>
              <w:rPr>
                <w:rFonts w:ascii="Times New Roman" w:hAnsi="Times New Roman"/>
                <w:szCs w:val="22"/>
              </w:rPr>
            </w:pPr>
          </w:p>
          <w:p w14:paraId="5F75CA32" w14:textId="1CC4F116" w:rsidR="00C611EE" w:rsidRPr="00C56DF8" w:rsidRDefault="00412F30" w:rsidP="00E834C0">
            <w:pPr>
              <w:pStyle w:val="Paragrafoelenco"/>
              <w:jc w:val="both"/>
              <w:rPr>
                <w:rFonts w:ascii="Times New Roman" w:hAnsi="Times New Roman"/>
                <w:szCs w:val="22"/>
              </w:rPr>
            </w:pPr>
            <w:r w:rsidRPr="00C56DF8">
              <w:rPr>
                <w:rFonts w:ascii="Times New Roman" w:hAnsi="Times New Roman"/>
                <w:szCs w:val="22"/>
              </w:rPr>
              <w:t>Atteso che, i</w:t>
            </w:r>
            <w:r w:rsidR="00C611EE" w:rsidRPr="00C56DF8">
              <w:rPr>
                <w:rFonts w:ascii="Times New Roman" w:hAnsi="Times New Roman"/>
                <w:szCs w:val="22"/>
              </w:rPr>
              <w:t>n applicazione delle regole introdotte dall’articolo 33, comma 2, del d.l. 34/2019 convertito in legge 58/2019 e s.m.i., e del decreto ministeriale attuativo 17/03/2020, effettua</w:t>
            </w:r>
            <w:r w:rsidR="00906540" w:rsidRPr="00C56DF8">
              <w:rPr>
                <w:rFonts w:ascii="Times New Roman" w:hAnsi="Times New Roman"/>
                <w:szCs w:val="22"/>
              </w:rPr>
              <w:t>t</w:t>
            </w:r>
            <w:r w:rsidR="00C611EE" w:rsidRPr="00C56DF8">
              <w:rPr>
                <w:rFonts w:ascii="Times New Roman" w:hAnsi="Times New Roman"/>
                <w:szCs w:val="22"/>
              </w:rPr>
              <w:t xml:space="preserve">o il calcolo </w:t>
            </w:r>
            <w:r w:rsidR="00906540" w:rsidRPr="00C56DF8">
              <w:rPr>
                <w:rFonts w:ascii="Times New Roman" w:hAnsi="Times New Roman"/>
                <w:szCs w:val="22"/>
              </w:rPr>
              <w:t xml:space="preserve">degli spazi assunzionali disponibili </w:t>
            </w:r>
            <w:r w:rsidR="00C611EE" w:rsidRPr="00C56DF8">
              <w:rPr>
                <w:rFonts w:ascii="Times New Roman" w:hAnsi="Times New Roman"/>
                <w:szCs w:val="22"/>
              </w:rPr>
              <w:t>con riferimento al rendiconto di gestione degli anni 20</w:t>
            </w:r>
            <w:r w:rsidR="00E136BE">
              <w:rPr>
                <w:rFonts w:ascii="Times New Roman" w:hAnsi="Times New Roman"/>
                <w:szCs w:val="22"/>
              </w:rPr>
              <w:t>20</w:t>
            </w:r>
            <w:r w:rsidR="00C611EE" w:rsidRPr="00C56DF8">
              <w:rPr>
                <w:rFonts w:ascii="Times New Roman" w:hAnsi="Times New Roman"/>
                <w:szCs w:val="22"/>
              </w:rPr>
              <w:t>, 202</w:t>
            </w:r>
            <w:r w:rsidR="00E136BE">
              <w:rPr>
                <w:rFonts w:ascii="Times New Roman" w:hAnsi="Times New Roman"/>
                <w:szCs w:val="22"/>
              </w:rPr>
              <w:t>1</w:t>
            </w:r>
            <w:r w:rsidR="00C611EE" w:rsidRPr="00C56DF8">
              <w:rPr>
                <w:rFonts w:ascii="Times New Roman" w:hAnsi="Times New Roman"/>
                <w:szCs w:val="22"/>
              </w:rPr>
              <w:t xml:space="preserve"> e 202</w:t>
            </w:r>
            <w:r w:rsidR="00E136BE">
              <w:rPr>
                <w:rFonts w:ascii="Times New Roman" w:hAnsi="Times New Roman"/>
                <w:szCs w:val="22"/>
              </w:rPr>
              <w:t>2</w:t>
            </w:r>
            <w:r w:rsidR="00C611EE" w:rsidRPr="00C56DF8">
              <w:rPr>
                <w:rFonts w:ascii="Times New Roman" w:hAnsi="Times New Roman"/>
                <w:szCs w:val="22"/>
              </w:rPr>
              <w:t xml:space="preserve"> per le entrate, al netto del FCDE dell’ultima delle tre annualità considerate, e dell’anno 202</w:t>
            </w:r>
            <w:r w:rsidR="00E136BE">
              <w:rPr>
                <w:rFonts w:ascii="Times New Roman" w:hAnsi="Times New Roman"/>
                <w:szCs w:val="22"/>
              </w:rPr>
              <w:t>2</w:t>
            </w:r>
            <w:r w:rsidR="00C611EE" w:rsidRPr="00C56DF8">
              <w:rPr>
                <w:rFonts w:ascii="Times New Roman" w:hAnsi="Times New Roman"/>
                <w:szCs w:val="22"/>
              </w:rPr>
              <w:t xml:space="preserve"> per la spesa</w:t>
            </w:r>
            <w:r w:rsidR="00906540" w:rsidRPr="00C56DF8">
              <w:rPr>
                <w:rFonts w:ascii="Times New Roman" w:hAnsi="Times New Roman"/>
                <w:szCs w:val="22"/>
              </w:rPr>
              <w:t xml:space="preserve"> di personale</w:t>
            </w:r>
            <w:r w:rsidR="00C611EE" w:rsidRPr="00C56DF8">
              <w:rPr>
                <w:rFonts w:ascii="Times New Roman" w:hAnsi="Times New Roman"/>
                <w:szCs w:val="22"/>
              </w:rPr>
              <w:t xml:space="preserve">: </w:t>
            </w:r>
          </w:p>
          <w:p w14:paraId="5191E782" w14:textId="77777777" w:rsidR="00412F30" w:rsidRPr="00C56DF8" w:rsidRDefault="00412F30" w:rsidP="00E834C0">
            <w:pPr>
              <w:pStyle w:val="Paragrafoelenco"/>
              <w:jc w:val="both"/>
              <w:rPr>
                <w:rFonts w:ascii="Times New Roman" w:hAnsi="Times New Roman"/>
                <w:szCs w:val="22"/>
              </w:rPr>
            </w:pPr>
          </w:p>
          <w:p w14:paraId="44DACCBC" w14:textId="156BF4EC" w:rsidR="00C611EE" w:rsidRDefault="00C611EE" w:rsidP="00653FAD">
            <w:pPr>
              <w:pStyle w:val="Paragrafoelenco"/>
              <w:numPr>
                <w:ilvl w:val="0"/>
                <w:numId w:val="3"/>
              </w:numPr>
              <w:jc w:val="both"/>
              <w:rPr>
                <w:rFonts w:ascii="Times New Roman" w:hAnsi="Times New Roman"/>
                <w:szCs w:val="22"/>
              </w:rPr>
            </w:pPr>
            <w:r w:rsidRPr="00C56DF8">
              <w:rPr>
                <w:rFonts w:ascii="Times New Roman" w:hAnsi="Times New Roman"/>
                <w:szCs w:val="22"/>
              </w:rPr>
              <w:t>Il comune evidenzia un rapporto percentuale tra spesa ed entrate pari a</w:t>
            </w:r>
            <w:r w:rsidR="00AD2EAC">
              <w:rPr>
                <w:rFonts w:ascii="Times New Roman" w:hAnsi="Times New Roman"/>
                <w:szCs w:val="22"/>
              </w:rPr>
              <w:t>:</w:t>
            </w:r>
          </w:p>
          <w:p w14:paraId="2C2C5D6A" w14:textId="17EEE852" w:rsidR="00AD2EAC" w:rsidRDefault="00AD2EAC" w:rsidP="00AD2EAC">
            <w:pPr>
              <w:jc w:val="both"/>
              <w:rPr>
                <w:rFonts w:ascii="Times New Roman" w:hAnsi="Times New Roman"/>
                <w:szCs w:val="22"/>
              </w:rPr>
            </w:pPr>
          </w:p>
          <w:p w14:paraId="43534C29" w14:textId="6D9D8779" w:rsidR="00AD2EAC" w:rsidRDefault="00AD2EAC" w:rsidP="00AD2EAC">
            <w:pPr>
              <w:jc w:val="both"/>
              <w:rPr>
                <w:rFonts w:ascii="Times New Roman" w:hAnsi="Times New Roman"/>
                <w:szCs w:val="22"/>
              </w:rPr>
            </w:pPr>
          </w:p>
          <w:tbl>
            <w:tblPr>
              <w:tblpPr w:leftFromText="141" w:rightFromText="141" w:bottomFromText="200" w:vertAnchor="text" w:horzAnchor="margin" w:tblpY="75"/>
              <w:tblW w:w="5000" w:type="pct"/>
              <w:tblCellMar>
                <w:left w:w="70" w:type="dxa"/>
                <w:right w:w="70" w:type="dxa"/>
              </w:tblCellMar>
              <w:tblLook w:val="04A0" w:firstRow="1" w:lastRow="0" w:firstColumn="1" w:lastColumn="0" w:noHBand="0" w:noVBand="1"/>
            </w:tblPr>
            <w:tblGrid>
              <w:gridCol w:w="7153"/>
              <w:gridCol w:w="503"/>
              <w:gridCol w:w="2175"/>
            </w:tblGrid>
            <w:tr w:rsidR="00AD2EAC" w:rsidRPr="000F0021" w14:paraId="226DE938" w14:textId="77777777" w:rsidTr="00217A9E">
              <w:trPr>
                <w:trHeight w:val="312"/>
              </w:trPr>
              <w:tc>
                <w:tcPr>
                  <w:tcW w:w="3638" w:type="pct"/>
                  <w:tcBorders>
                    <w:top w:val="single" w:sz="4" w:space="0" w:color="auto"/>
                    <w:left w:val="single" w:sz="4" w:space="0" w:color="auto"/>
                    <w:bottom w:val="single" w:sz="4" w:space="0" w:color="auto"/>
                    <w:right w:val="single" w:sz="4" w:space="0" w:color="auto"/>
                  </w:tcBorders>
                  <w:shd w:val="clear" w:color="auto" w:fill="D8E4BC"/>
                  <w:vAlign w:val="center"/>
                  <w:hideMark/>
                </w:tcPr>
                <w:p w14:paraId="1867D448" w14:textId="77777777" w:rsidR="00AD2EAC" w:rsidRPr="000F0021" w:rsidRDefault="00AD2EAC" w:rsidP="00AD2EAC">
                  <w:pPr>
                    <w:spacing w:after="160" w:line="256" w:lineRule="auto"/>
                    <w:jc w:val="both"/>
                    <w:rPr>
                      <w:rFonts w:ascii="Calibri" w:eastAsia="Calibri" w:hAnsi="Calibri"/>
                      <w:b/>
                      <w:bCs/>
                      <w:szCs w:val="22"/>
                      <w:lang w:eastAsia="en-US"/>
                    </w:rPr>
                  </w:pPr>
                  <w:r w:rsidRPr="000F0021">
                    <w:rPr>
                      <w:rFonts w:ascii="Calibri" w:eastAsia="Calibri" w:hAnsi="Calibri"/>
                      <w:b/>
                      <w:bCs/>
                      <w:szCs w:val="22"/>
                      <w:lang w:eastAsia="en-US"/>
                    </w:rPr>
                    <w:lastRenderedPageBreak/>
                    <w:t>RAPPORTO EFFETTIVO SPESA DEL PERSONALE / MEDIA ENTRATE CORRENTI DELL’ENTE</w:t>
                  </w:r>
                </w:p>
              </w:tc>
              <w:tc>
                <w:tcPr>
                  <w:tcW w:w="256" w:type="pct"/>
                  <w:noWrap/>
                  <w:vAlign w:val="center"/>
                  <w:hideMark/>
                </w:tcPr>
                <w:p w14:paraId="62478C7F" w14:textId="77777777" w:rsidR="00AD2EAC" w:rsidRPr="000F0021" w:rsidRDefault="00AD2EAC" w:rsidP="00AD2EAC">
                  <w:pPr>
                    <w:spacing w:after="160" w:line="256" w:lineRule="auto"/>
                    <w:jc w:val="both"/>
                    <w:rPr>
                      <w:rFonts w:ascii="Calibri" w:eastAsia="Calibri" w:hAnsi="Calibri"/>
                      <w:b/>
                      <w:bCs/>
                      <w:szCs w:val="22"/>
                      <w:lang w:eastAsia="en-US"/>
                    </w:rPr>
                  </w:pPr>
                </w:p>
              </w:tc>
              <w:tc>
                <w:tcPr>
                  <w:tcW w:w="1106"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14:paraId="6DE5C2C5" w14:textId="4C00A221" w:rsidR="00AD2EAC" w:rsidRPr="00877AC0" w:rsidRDefault="005A5ACF" w:rsidP="00AD2EAC">
                  <w:pPr>
                    <w:spacing w:after="160" w:line="256" w:lineRule="auto"/>
                    <w:jc w:val="both"/>
                    <w:rPr>
                      <w:rFonts w:ascii="Calibri" w:eastAsia="Calibri" w:hAnsi="Calibri"/>
                      <w:b/>
                      <w:bCs/>
                      <w:color w:val="974706"/>
                      <w:szCs w:val="22"/>
                      <w:highlight w:val="yellow"/>
                      <w:lang w:eastAsia="en-US"/>
                    </w:rPr>
                  </w:pPr>
                  <w:r>
                    <w:rPr>
                      <w:rFonts w:ascii="Calibri" w:eastAsia="Calibri" w:hAnsi="Calibri"/>
                      <w:b/>
                      <w:bCs/>
                      <w:color w:val="974706"/>
                      <w:szCs w:val="22"/>
                      <w:lang w:eastAsia="en-US"/>
                    </w:rPr>
                    <w:t>30,23</w:t>
                  </w:r>
                  <w:r w:rsidR="00AD2EAC" w:rsidRPr="00D945D7">
                    <w:rPr>
                      <w:rFonts w:ascii="Calibri" w:eastAsia="Calibri" w:hAnsi="Calibri"/>
                      <w:b/>
                      <w:bCs/>
                      <w:color w:val="974706"/>
                      <w:szCs w:val="22"/>
                      <w:lang w:eastAsia="en-US"/>
                    </w:rPr>
                    <w:t>%</w:t>
                  </w:r>
                </w:p>
              </w:tc>
            </w:tr>
            <w:tr w:rsidR="00AD2EAC" w:rsidRPr="000F0021" w14:paraId="0CAB879D" w14:textId="77777777" w:rsidTr="00217A9E">
              <w:trPr>
                <w:trHeight w:val="528"/>
              </w:trPr>
              <w:tc>
                <w:tcPr>
                  <w:tcW w:w="3638" w:type="pct"/>
                  <w:tcBorders>
                    <w:top w:val="nil"/>
                    <w:left w:val="single" w:sz="4" w:space="0" w:color="auto"/>
                    <w:bottom w:val="single" w:sz="4" w:space="0" w:color="auto"/>
                    <w:right w:val="single" w:sz="4" w:space="0" w:color="auto"/>
                  </w:tcBorders>
                  <w:shd w:val="clear" w:color="auto" w:fill="D8E4BC"/>
                  <w:vAlign w:val="center"/>
                  <w:hideMark/>
                </w:tcPr>
                <w:p w14:paraId="6D98C150" w14:textId="77777777" w:rsidR="00AD2EAC" w:rsidRPr="000F0021" w:rsidRDefault="00AD2EAC" w:rsidP="00AD2EAC">
                  <w:pPr>
                    <w:spacing w:after="160" w:line="256" w:lineRule="auto"/>
                    <w:jc w:val="both"/>
                    <w:rPr>
                      <w:rFonts w:ascii="Calibri" w:eastAsia="Calibri" w:hAnsi="Calibri"/>
                      <w:b/>
                      <w:bCs/>
                      <w:szCs w:val="22"/>
                      <w:lang w:eastAsia="en-US"/>
                    </w:rPr>
                  </w:pPr>
                  <w:r w:rsidRPr="000F0021">
                    <w:rPr>
                      <w:rFonts w:ascii="Calibri" w:eastAsia="Calibri" w:hAnsi="Calibri"/>
                      <w:b/>
                      <w:bCs/>
                      <w:szCs w:val="22"/>
                      <w:lang w:eastAsia="en-US"/>
                    </w:rPr>
                    <w:t>VALORE SOGLIA DEL RAPPORTO TRA SPESA DI PERSONALE ED ENTRATE CORRENTI COME DA TABELLA 1 DM - LIMITE MASSIMO CONSENTITO</w:t>
                  </w:r>
                </w:p>
              </w:tc>
              <w:tc>
                <w:tcPr>
                  <w:tcW w:w="256" w:type="pct"/>
                  <w:noWrap/>
                  <w:vAlign w:val="center"/>
                  <w:hideMark/>
                </w:tcPr>
                <w:p w14:paraId="183D0E34" w14:textId="77777777" w:rsidR="00AD2EAC" w:rsidRPr="000F0021" w:rsidRDefault="00AD2EAC" w:rsidP="00AD2EAC">
                  <w:pPr>
                    <w:spacing w:after="160" w:line="256" w:lineRule="auto"/>
                    <w:jc w:val="both"/>
                    <w:rPr>
                      <w:rFonts w:ascii="Calibri" w:eastAsia="Calibri" w:hAnsi="Calibri"/>
                      <w:b/>
                      <w:bCs/>
                      <w:szCs w:val="22"/>
                      <w:lang w:eastAsia="en-US"/>
                    </w:rPr>
                  </w:pPr>
                </w:p>
              </w:tc>
              <w:tc>
                <w:tcPr>
                  <w:tcW w:w="1106" w:type="pct"/>
                  <w:tcBorders>
                    <w:top w:val="nil"/>
                    <w:left w:val="single" w:sz="4" w:space="0" w:color="auto"/>
                    <w:bottom w:val="single" w:sz="4" w:space="0" w:color="auto"/>
                    <w:right w:val="single" w:sz="4" w:space="0" w:color="auto"/>
                  </w:tcBorders>
                  <w:shd w:val="clear" w:color="auto" w:fill="D8E4BC"/>
                  <w:noWrap/>
                  <w:vAlign w:val="center"/>
                  <w:hideMark/>
                </w:tcPr>
                <w:p w14:paraId="7956A958" w14:textId="421CD663" w:rsidR="00AD2EAC" w:rsidRPr="000F0021" w:rsidRDefault="00D00604" w:rsidP="00AD2EAC">
                  <w:pPr>
                    <w:spacing w:after="160" w:line="256" w:lineRule="auto"/>
                    <w:jc w:val="both"/>
                    <w:rPr>
                      <w:rFonts w:ascii="Calibri" w:eastAsia="Calibri" w:hAnsi="Calibri"/>
                      <w:b/>
                      <w:bCs/>
                      <w:color w:val="974706"/>
                      <w:szCs w:val="22"/>
                      <w:lang w:eastAsia="en-US"/>
                    </w:rPr>
                  </w:pPr>
                  <w:r>
                    <w:rPr>
                      <w:rFonts w:ascii="Calibri" w:eastAsia="Calibri" w:hAnsi="Calibri"/>
                      <w:b/>
                      <w:bCs/>
                      <w:color w:val="974706"/>
                      <w:szCs w:val="22"/>
                      <w:lang w:eastAsia="en-US"/>
                    </w:rPr>
                    <w:t>2</w:t>
                  </w:r>
                  <w:r w:rsidR="00E136BE">
                    <w:rPr>
                      <w:rFonts w:ascii="Calibri" w:eastAsia="Calibri" w:hAnsi="Calibri"/>
                      <w:b/>
                      <w:bCs/>
                      <w:color w:val="974706"/>
                      <w:szCs w:val="22"/>
                      <w:lang w:eastAsia="en-US"/>
                    </w:rPr>
                    <w:t>9</w:t>
                  </w:r>
                  <w:r>
                    <w:rPr>
                      <w:rFonts w:ascii="Calibri" w:eastAsia="Calibri" w:hAnsi="Calibri"/>
                      <w:b/>
                      <w:bCs/>
                      <w:color w:val="974706"/>
                      <w:szCs w:val="22"/>
                      <w:lang w:eastAsia="en-US"/>
                    </w:rPr>
                    <w:t>,</w:t>
                  </w:r>
                  <w:r w:rsidR="00E136BE">
                    <w:rPr>
                      <w:rFonts w:ascii="Calibri" w:eastAsia="Calibri" w:hAnsi="Calibri"/>
                      <w:b/>
                      <w:bCs/>
                      <w:color w:val="974706"/>
                      <w:szCs w:val="22"/>
                      <w:lang w:eastAsia="en-US"/>
                    </w:rPr>
                    <w:t>5</w:t>
                  </w:r>
                  <w:r>
                    <w:rPr>
                      <w:rFonts w:ascii="Calibri" w:eastAsia="Calibri" w:hAnsi="Calibri"/>
                      <w:b/>
                      <w:bCs/>
                      <w:color w:val="974706"/>
                      <w:szCs w:val="22"/>
                      <w:lang w:eastAsia="en-US"/>
                    </w:rPr>
                    <w:t>0</w:t>
                  </w:r>
                  <w:r w:rsidR="00AD2EAC" w:rsidRPr="000F0021">
                    <w:rPr>
                      <w:rFonts w:ascii="Calibri" w:eastAsia="Calibri" w:hAnsi="Calibri"/>
                      <w:b/>
                      <w:bCs/>
                      <w:color w:val="974706"/>
                      <w:szCs w:val="22"/>
                      <w:lang w:eastAsia="en-US"/>
                    </w:rPr>
                    <w:t>%</w:t>
                  </w:r>
                </w:p>
              </w:tc>
            </w:tr>
          </w:tbl>
          <w:tbl>
            <w:tblPr>
              <w:tblW w:w="4140" w:type="dxa"/>
              <w:jc w:val="center"/>
              <w:tblCellMar>
                <w:left w:w="70" w:type="dxa"/>
                <w:right w:w="70" w:type="dxa"/>
              </w:tblCellMar>
              <w:tblLook w:val="04A0" w:firstRow="1" w:lastRow="0" w:firstColumn="1" w:lastColumn="0" w:noHBand="0" w:noVBand="1"/>
            </w:tblPr>
            <w:tblGrid>
              <w:gridCol w:w="1960"/>
              <w:gridCol w:w="2180"/>
            </w:tblGrid>
            <w:tr w:rsidR="005A5ACF" w:rsidRPr="005A5ACF" w14:paraId="4DA8B1FB" w14:textId="77777777" w:rsidTr="005A5ACF">
              <w:trPr>
                <w:trHeight w:val="1644"/>
                <w:jc w:val="center"/>
              </w:trPr>
              <w:tc>
                <w:tcPr>
                  <w:tcW w:w="19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4469CC4" w14:textId="77777777" w:rsidR="005A5ACF" w:rsidRPr="005A5ACF" w:rsidRDefault="005A5ACF" w:rsidP="005A5ACF">
                  <w:pPr>
                    <w:jc w:val="center"/>
                    <w:rPr>
                      <w:rFonts w:cs="Arial"/>
                      <w:b/>
                      <w:bCs/>
                      <w:color w:val="974706"/>
                      <w:sz w:val="24"/>
                      <w:szCs w:val="24"/>
                    </w:rPr>
                  </w:pPr>
                  <w:r w:rsidRPr="005A5ACF">
                    <w:rPr>
                      <w:rFonts w:cs="Arial"/>
                      <w:b/>
                      <w:bCs/>
                      <w:color w:val="974706"/>
                      <w:sz w:val="24"/>
                      <w:szCs w:val="24"/>
                    </w:rPr>
                    <w:t>33,50%</w:t>
                  </w:r>
                </w:p>
              </w:tc>
              <w:tc>
                <w:tcPr>
                  <w:tcW w:w="2180"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13F8DFA6" w14:textId="77777777" w:rsidR="005A5ACF" w:rsidRPr="005A5ACF" w:rsidRDefault="005A5ACF" w:rsidP="005A5ACF">
                  <w:pPr>
                    <w:jc w:val="center"/>
                    <w:rPr>
                      <w:rFonts w:cs="Arial"/>
                      <w:b/>
                      <w:bCs/>
                      <w:color w:val="974706"/>
                      <w:sz w:val="20"/>
                    </w:rPr>
                  </w:pPr>
                  <w:r w:rsidRPr="005A5ACF">
                    <w:rPr>
                      <w:rFonts w:cs="Arial"/>
                      <w:b/>
                      <w:bCs/>
                      <w:color w:val="974706"/>
                      <w:sz w:val="20"/>
                    </w:rPr>
                    <w:t>SOGLIA TABELLA 3 DM</w:t>
                  </w:r>
                </w:p>
              </w:tc>
            </w:tr>
          </w:tbl>
          <w:p w14:paraId="4F633134" w14:textId="2B6388A9" w:rsidR="00AD2EAC" w:rsidRDefault="00AD2EAC" w:rsidP="005A5ACF">
            <w:pPr>
              <w:jc w:val="center"/>
              <w:rPr>
                <w:rFonts w:ascii="Times New Roman" w:hAnsi="Times New Roman"/>
                <w:szCs w:val="22"/>
              </w:rPr>
            </w:pPr>
          </w:p>
          <w:p w14:paraId="247E7D09" w14:textId="238F7A3E" w:rsidR="00AD2EAC" w:rsidRDefault="00AD2EAC" w:rsidP="00AD2EAC">
            <w:pPr>
              <w:jc w:val="both"/>
              <w:rPr>
                <w:rFonts w:ascii="Times New Roman" w:hAnsi="Times New Roman"/>
                <w:szCs w:val="22"/>
              </w:rPr>
            </w:pPr>
          </w:p>
          <w:p w14:paraId="52516A4C" w14:textId="77777777" w:rsidR="00AD2EAC" w:rsidRPr="00AD2EAC" w:rsidRDefault="00AD2EAC" w:rsidP="00AD2EAC">
            <w:pPr>
              <w:jc w:val="both"/>
              <w:rPr>
                <w:rFonts w:ascii="Times New Roman" w:hAnsi="Times New Roman"/>
                <w:szCs w:val="22"/>
              </w:rPr>
            </w:pPr>
          </w:p>
          <w:p w14:paraId="72BF4334" w14:textId="6BEF04EC" w:rsidR="000C6F73" w:rsidRPr="000815FB" w:rsidRDefault="00C611EE" w:rsidP="00653FAD">
            <w:pPr>
              <w:pStyle w:val="Paragrafoelenco"/>
              <w:numPr>
                <w:ilvl w:val="0"/>
                <w:numId w:val="3"/>
              </w:numPr>
              <w:jc w:val="both"/>
              <w:rPr>
                <w:rFonts w:ascii="Times New Roman" w:hAnsi="Times New Roman"/>
                <w:szCs w:val="22"/>
              </w:rPr>
            </w:pPr>
            <w:r w:rsidRPr="000815FB">
              <w:rPr>
                <w:rFonts w:ascii="Times New Roman" w:hAnsi="Times New Roman"/>
                <w:szCs w:val="22"/>
              </w:rPr>
              <w:t xml:space="preserve">Il comune si colloca pertanto </w:t>
            </w:r>
            <w:r w:rsidR="005A5ACF">
              <w:rPr>
                <w:rFonts w:ascii="Times New Roman" w:hAnsi="Times New Roman"/>
                <w:szCs w:val="22"/>
              </w:rPr>
              <w:t>tra</w:t>
            </w:r>
            <w:r w:rsidRPr="000815FB">
              <w:rPr>
                <w:rFonts w:ascii="Times New Roman" w:hAnsi="Times New Roman"/>
                <w:szCs w:val="22"/>
              </w:rPr>
              <w:t xml:space="preserve"> la soglia più bassa</w:t>
            </w:r>
            <w:r w:rsidR="005A5ACF">
              <w:rPr>
                <w:rFonts w:ascii="Times New Roman" w:hAnsi="Times New Roman"/>
                <w:szCs w:val="22"/>
              </w:rPr>
              <w:t xml:space="preserve"> e quella più elevata</w:t>
            </w:r>
            <w:r w:rsidRPr="000815FB">
              <w:rPr>
                <w:rFonts w:ascii="Times New Roman" w:hAnsi="Times New Roman"/>
                <w:szCs w:val="22"/>
              </w:rPr>
              <w:t>, disponendo di un margine per capacità assunzionale aggiuntiva teorica rispetto a quella ordinaria, , da utilizzare per la programmazione dei fabbisogni del triennio 202</w:t>
            </w:r>
            <w:r w:rsidR="000929D5" w:rsidRPr="000815FB">
              <w:rPr>
                <w:rFonts w:ascii="Times New Roman" w:hAnsi="Times New Roman"/>
                <w:szCs w:val="22"/>
              </w:rPr>
              <w:t>3</w:t>
            </w:r>
            <w:r w:rsidRPr="000815FB">
              <w:rPr>
                <w:rFonts w:ascii="Times New Roman" w:hAnsi="Times New Roman"/>
                <w:szCs w:val="22"/>
              </w:rPr>
              <w:t>/202</w:t>
            </w:r>
            <w:r w:rsidR="000929D5" w:rsidRPr="000815FB">
              <w:rPr>
                <w:rFonts w:ascii="Times New Roman" w:hAnsi="Times New Roman"/>
                <w:szCs w:val="22"/>
              </w:rPr>
              <w:t>5</w:t>
            </w:r>
            <w:r w:rsidRPr="000815FB">
              <w:rPr>
                <w:rFonts w:ascii="Times New Roman" w:hAnsi="Times New Roman"/>
                <w:szCs w:val="22"/>
              </w:rPr>
              <w:t>, con riferimento all’annualità 202</w:t>
            </w:r>
            <w:r w:rsidR="000929D5" w:rsidRPr="000815FB">
              <w:rPr>
                <w:rFonts w:ascii="Times New Roman" w:hAnsi="Times New Roman"/>
                <w:szCs w:val="22"/>
              </w:rPr>
              <w:t>3</w:t>
            </w:r>
            <w:r w:rsidRPr="000815FB">
              <w:rPr>
                <w:rFonts w:ascii="Times New Roman" w:hAnsi="Times New Roman"/>
                <w:szCs w:val="22"/>
              </w:rPr>
              <w:t xml:space="preserve">, </w:t>
            </w:r>
            <w:r w:rsidR="005A5ACF">
              <w:rPr>
                <w:rFonts w:ascii="Times New Roman" w:hAnsi="Times New Roman"/>
                <w:szCs w:val="22"/>
              </w:rPr>
              <w:t>pari al 100% della sostituzione dei cessati.</w:t>
            </w:r>
            <w:r w:rsidRPr="000815FB">
              <w:rPr>
                <w:rFonts w:ascii="Times New Roman" w:hAnsi="Times New Roman"/>
                <w:szCs w:val="22"/>
              </w:rPr>
              <w:t xml:space="preserve"> </w:t>
            </w:r>
          </w:p>
          <w:p w14:paraId="38060E33" w14:textId="5B5B7A24" w:rsidR="000C6F73" w:rsidRDefault="000C6F73" w:rsidP="000C6F73">
            <w:pPr>
              <w:jc w:val="both"/>
              <w:rPr>
                <w:rFonts w:ascii="Times New Roman" w:hAnsi="Times New Roman"/>
                <w:szCs w:val="22"/>
              </w:rPr>
            </w:pPr>
          </w:p>
          <w:p w14:paraId="6C339E83" w14:textId="563FCC3E" w:rsidR="000C6F73" w:rsidRDefault="000C6F73" w:rsidP="000C6F73">
            <w:pPr>
              <w:jc w:val="both"/>
              <w:rPr>
                <w:rFonts w:ascii="Times New Roman" w:hAnsi="Times New Roman"/>
                <w:szCs w:val="22"/>
              </w:rPr>
            </w:pPr>
          </w:p>
          <w:p w14:paraId="76C45BA4" w14:textId="593E543A" w:rsidR="000C6F73" w:rsidRDefault="00C611EE" w:rsidP="00653FAD">
            <w:pPr>
              <w:pStyle w:val="Paragrafoelenco"/>
              <w:numPr>
                <w:ilvl w:val="0"/>
                <w:numId w:val="3"/>
              </w:numPr>
              <w:jc w:val="both"/>
              <w:rPr>
                <w:rFonts w:ascii="Times New Roman" w:hAnsi="Times New Roman"/>
                <w:szCs w:val="22"/>
              </w:rPr>
            </w:pPr>
            <w:r w:rsidRPr="000815FB">
              <w:rPr>
                <w:rFonts w:ascii="Times New Roman" w:hAnsi="Times New Roman"/>
                <w:szCs w:val="22"/>
              </w:rPr>
              <w:t xml:space="preserve">il Comune </w:t>
            </w:r>
            <w:r w:rsidR="005A5ACF">
              <w:rPr>
                <w:rFonts w:ascii="Times New Roman" w:hAnsi="Times New Roman"/>
                <w:szCs w:val="22"/>
              </w:rPr>
              <w:t xml:space="preserve">non </w:t>
            </w:r>
            <w:r w:rsidRPr="000815FB">
              <w:rPr>
                <w:rFonts w:ascii="Times New Roman" w:hAnsi="Times New Roman"/>
                <w:szCs w:val="22"/>
              </w:rPr>
              <w:t>dispone di resti assunzionali dei 5 anni antecedenti al 2020</w:t>
            </w:r>
            <w:r w:rsidR="000815FB">
              <w:rPr>
                <w:rFonts w:ascii="Times New Roman" w:hAnsi="Times New Roman"/>
                <w:szCs w:val="22"/>
              </w:rPr>
              <w:t>, ma risultano inferiori alle capacità generate dal d.m.</w:t>
            </w:r>
            <w:r w:rsidRPr="000815FB">
              <w:rPr>
                <w:rFonts w:ascii="Times New Roman" w:hAnsi="Times New Roman"/>
                <w:szCs w:val="22"/>
              </w:rPr>
              <w:t>, che alla</w:t>
            </w:r>
            <w:r w:rsidRPr="00C56DF8">
              <w:rPr>
                <w:rFonts w:ascii="Times New Roman" w:hAnsi="Times New Roman"/>
                <w:szCs w:val="22"/>
              </w:rPr>
              <w:t xml:space="preserve"> luce dell'art. 5 comma 2 del d.m. 17 marzo 2020 e della Circolare interministeriale del 13 maggio 2020, potrebbero essere usati "in superamento" degli spazi individuati in applicazione della </w:t>
            </w:r>
            <w:r w:rsidRPr="00C56DF8">
              <w:rPr>
                <w:rFonts w:ascii="Times New Roman" w:hAnsi="Times New Roman"/>
                <w:i/>
                <w:iCs/>
                <w:szCs w:val="22"/>
              </w:rPr>
              <w:t>Tabella 2</w:t>
            </w:r>
            <w:r w:rsidRPr="00C56DF8">
              <w:rPr>
                <w:rFonts w:ascii="Times New Roman" w:hAnsi="Times New Roman"/>
                <w:szCs w:val="22"/>
              </w:rPr>
              <w:t xml:space="preserve"> summenzionata, tenendo conto della nota prot. 12454/2020 del MEF - Ragioneria Generale dello Stato, che prevede che tali resti siano meramente </w:t>
            </w:r>
            <w:r w:rsidRPr="00C56DF8">
              <w:rPr>
                <w:rFonts w:ascii="Times New Roman" w:hAnsi="Times New Roman"/>
                <w:i/>
                <w:iCs/>
                <w:szCs w:val="22"/>
              </w:rPr>
              <w:t>alternativi</w:t>
            </w:r>
            <w:r w:rsidRPr="00C56DF8">
              <w:rPr>
                <w:rFonts w:ascii="Times New Roman" w:hAnsi="Times New Roman"/>
                <w:szCs w:val="22"/>
              </w:rPr>
              <w:t>, ove più favorevoli, agli spazi individuati applicando la Tabella 2 del d.m.;</w:t>
            </w:r>
          </w:p>
          <w:p w14:paraId="564C4108" w14:textId="77777777" w:rsidR="0051204F" w:rsidRDefault="0051204F" w:rsidP="0051204F">
            <w:pPr>
              <w:pStyle w:val="Paragrafoelenco"/>
              <w:jc w:val="both"/>
              <w:rPr>
                <w:rFonts w:ascii="Times New Roman" w:hAnsi="Times New Roman"/>
                <w:szCs w:val="22"/>
              </w:rPr>
            </w:pPr>
          </w:p>
          <w:p w14:paraId="66DAB79E" w14:textId="638B6C3D" w:rsidR="000C6F73" w:rsidRPr="000C6F73" w:rsidRDefault="000C6F73" w:rsidP="00653FAD">
            <w:pPr>
              <w:pStyle w:val="Paragrafoelenco"/>
              <w:numPr>
                <w:ilvl w:val="0"/>
                <w:numId w:val="3"/>
              </w:numPr>
              <w:jc w:val="both"/>
              <w:rPr>
                <w:rFonts w:ascii="Times New Roman" w:hAnsi="Times New Roman"/>
                <w:szCs w:val="22"/>
              </w:rPr>
            </w:pPr>
            <w:r w:rsidRPr="000C6F73">
              <w:rPr>
                <w:rFonts w:ascii="Times New Roman" w:hAnsi="Times New Roman"/>
                <w:szCs w:val="22"/>
              </w:rPr>
              <w:t xml:space="preserve">Precisato che secondo ANCI “l’applicazione delle nuove regole in materia di determinazione della capacità assunzionale in base al principio di sostenibilità finanziaria, a differenza di quelle in materia di turn-over, non portano alla definizione di un budget assunzionale, che può essere speso nell’esercizio di riferimento, ma all’individuazione di un limite complessivo di spesa. Ciò comporta che le percentuali di crescita annuale individuate dalla Tabella sopra riportata consentono la quantificazione di una spesa aggiuntiva che si somma al valore della spesa di personale registrata nel 2018, e da tale sommatoria si ricava il limite complessivo della spesa di personale nell’anno di riferimento.  Qualora ci si limitasse a considerare le percentuali di incremento annuale solo in termini di budget assunzionale valevole anno </w:t>
            </w:r>
            <w:r w:rsidRPr="000C6F73">
              <w:rPr>
                <w:rFonts w:ascii="Times New Roman" w:hAnsi="Times New Roman"/>
                <w:szCs w:val="22"/>
              </w:rPr>
              <w:lastRenderedPageBreak/>
              <w:t>per anno, si perderebbe la possibilità di utilizzare i risparmi derivanti dalla contrazione della spesa rispetto al 2018 ad esempio per cessazioni di personale intervenute a qualsiasi titolo. “</w:t>
            </w:r>
          </w:p>
          <w:p w14:paraId="1A317D19" w14:textId="7D323BE6" w:rsidR="000C6F73" w:rsidRDefault="000C6F73" w:rsidP="00653FAD">
            <w:pPr>
              <w:pStyle w:val="Paragrafoelenco"/>
              <w:numPr>
                <w:ilvl w:val="0"/>
                <w:numId w:val="3"/>
              </w:numPr>
              <w:jc w:val="both"/>
              <w:rPr>
                <w:rFonts w:ascii="Times New Roman" w:hAnsi="Times New Roman"/>
                <w:szCs w:val="22"/>
              </w:rPr>
            </w:pPr>
            <w:r>
              <w:rPr>
                <w:rFonts w:ascii="Times New Roman" w:hAnsi="Times New Roman"/>
                <w:szCs w:val="22"/>
              </w:rPr>
              <w:t xml:space="preserve">L’ente in seguito </w:t>
            </w:r>
            <w:r w:rsidR="00B0065D">
              <w:rPr>
                <w:rFonts w:ascii="Times New Roman" w:hAnsi="Times New Roman"/>
                <w:szCs w:val="22"/>
              </w:rPr>
              <w:t xml:space="preserve">alle </w:t>
            </w:r>
            <w:r>
              <w:rPr>
                <w:rFonts w:ascii="Times New Roman" w:hAnsi="Times New Roman"/>
                <w:szCs w:val="22"/>
              </w:rPr>
              <w:t>cessazion</w:t>
            </w:r>
            <w:r w:rsidR="00B0065D">
              <w:rPr>
                <w:rFonts w:ascii="Times New Roman" w:hAnsi="Times New Roman"/>
                <w:szCs w:val="22"/>
              </w:rPr>
              <w:t>i</w:t>
            </w:r>
            <w:r>
              <w:rPr>
                <w:rFonts w:ascii="Times New Roman" w:hAnsi="Times New Roman"/>
                <w:szCs w:val="22"/>
              </w:rPr>
              <w:t xml:space="preserve"> intervenut</w:t>
            </w:r>
            <w:r w:rsidR="00B0065D">
              <w:rPr>
                <w:rFonts w:ascii="Times New Roman" w:hAnsi="Times New Roman"/>
                <w:szCs w:val="22"/>
              </w:rPr>
              <w:t xml:space="preserve">e </w:t>
            </w:r>
            <w:r w:rsidR="0051204F">
              <w:rPr>
                <w:rFonts w:ascii="Times New Roman" w:hAnsi="Times New Roman"/>
                <w:szCs w:val="22"/>
              </w:rPr>
              <w:t xml:space="preserve">(e alle assunzioni già realizzate) </w:t>
            </w:r>
            <w:r w:rsidR="00B0065D">
              <w:rPr>
                <w:rFonts w:ascii="Times New Roman" w:hAnsi="Times New Roman"/>
                <w:szCs w:val="22"/>
              </w:rPr>
              <w:t>o che avverranno</w:t>
            </w:r>
            <w:r>
              <w:rPr>
                <w:rFonts w:ascii="Times New Roman" w:hAnsi="Times New Roman"/>
                <w:szCs w:val="22"/>
              </w:rPr>
              <w:t xml:space="preserve"> nel corso del </w:t>
            </w:r>
            <w:r w:rsidR="00B0065D">
              <w:rPr>
                <w:rFonts w:ascii="Times New Roman" w:hAnsi="Times New Roman"/>
                <w:szCs w:val="22"/>
              </w:rPr>
              <w:t xml:space="preserve">2020, </w:t>
            </w:r>
            <w:r>
              <w:rPr>
                <w:rFonts w:ascii="Times New Roman" w:hAnsi="Times New Roman"/>
                <w:szCs w:val="22"/>
              </w:rPr>
              <w:t>2021</w:t>
            </w:r>
            <w:r w:rsidR="00B0065D">
              <w:rPr>
                <w:rFonts w:ascii="Times New Roman" w:hAnsi="Times New Roman"/>
                <w:szCs w:val="22"/>
              </w:rPr>
              <w:t>, 2022, 2023, 2024 e 2025</w:t>
            </w:r>
            <w:r>
              <w:rPr>
                <w:rFonts w:ascii="Times New Roman" w:hAnsi="Times New Roman"/>
                <w:szCs w:val="22"/>
              </w:rPr>
              <w:t xml:space="preserve"> dispone di resti assunzionali par a:</w:t>
            </w:r>
          </w:p>
          <w:tbl>
            <w:tblPr>
              <w:tblW w:w="7520" w:type="dxa"/>
              <w:jc w:val="center"/>
              <w:tblCellMar>
                <w:left w:w="70" w:type="dxa"/>
                <w:right w:w="70" w:type="dxa"/>
              </w:tblCellMar>
              <w:tblLook w:val="04A0" w:firstRow="1" w:lastRow="0" w:firstColumn="1" w:lastColumn="0" w:noHBand="0" w:noVBand="1"/>
            </w:tblPr>
            <w:tblGrid>
              <w:gridCol w:w="6440"/>
              <w:gridCol w:w="1080"/>
            </w:tblGrid>
            <w:tr w:rsidR="000C6F73" w:rsidRPr="000F0021" w14:paraId="095438DB" w14:textId="77777777" w:rsidTr="000C6F73">
              <w:trPr>
                <w:trHeight w:val="525"/>
                <w:jc w:val="center"/>
              </w:trPr>
              <w:tc>
                <w:tcPr>
                  <w:tcW w:w="6440" w:type="dxa"/>
                  <w:tcBorders>
                    <w:top w:val="single" w:sz="8" w:space="0" w:color="auto"/>
                    <w:left w:val="single" w:sz="8" w:space="0" w:color="auto"/>
                    <w:bottom w:val="single" w:sz="8" w:space="0" w:color="auto"/>
                    <w:right w:val="single" w:sz="8" w:space="0" w:color="auto"/>
                  </w:tcBorders>
                  <w:vAlign w:val="center"/>
                  <w:hideMark/>
                </w:tcPr>
                <w:p w14:paraId="59F06C59" w14:textId="77777777" w:rsidR="000C6F73" w:rsidRPr="000F0021" w:rsidRDefault="000C6F73"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2020 da utilizzare nel 2022, al netto delle assunzioni effettuate nel 2021</w:t>
                  </w:r>
                </w:p>
              </w:tc>
              <w:tc>
                <w:tcPr>
                  <w:tcW w:w="1080" w:type="dxa"/>
                  <w:tcBorders>
                    <w:top w:val="single" w:sz="8" w:space="0" w:color="auto"/>
                    <w:left w:val="nil"/>
                    <w:bottom w:val="single" w:sz="8" w:space="0" w:color="auto"/>
                    <w:right w:val="single" w:sz="8" w:space="0" w:color="auto"/>
                  </w:tcBorders>
                  <w:shd w:val="clear" w:color="auto" w:fill="CCFFCC"/>
                  <w:noWrap/>
                  <w:vAlign w:val="center"/>
                  <w:hideMark/>
                </w:tcPr>
                <w:p w14:paraId="77797396" w14:textId="77777777" w:rsidR="000C6F73" w:rsidRPr="000F0021" w:rsidRDefault="000C6F73" w:rsidP="000C6F73">
                  <w:pPr>
                    <w:spacing w:after="160" w:line="256" w:lineRule="auto"/>
                    <w:jc w:val="both"/>
                    <w:rPr>
                      <w:rFonts w:ascii="Calibri" w:eastAsia="Calibri" w:hAnsi="Calibri"/>
                      <w:b/>
                      <w:bCs/>
                      <w:color w:val="000000"/>
                      <w:szCs w:val="22"/>
                      <w:lang w:eastAsia="en-US"/>
                    </w:rPr>
                  </w:pPr>
                  <w:r w:rsidRPr="000F0021">
                    <w:rPr>
                      <w:rFonts w:ascii="Calibri" w:eastAsia="Calibri" w:hAnsi="Calibri"/>
                      <w:b/>
                      <w:bCs/>
                      <w:color w:val="000000"/>
                      <w:szCs w:val="22"/>
                      <w:lang w:eastAsia="en-US"/>
                    </w:rPr>
                    <w:t>€ 0,00</w:t>
                  </w:r>
                </w:p>
              </w:tc>
            </w:tr>
            <w:tr w:rsidR="000C6F73" w:rsidRPr="000F0021" w14:paraId="3EF5060B" w14:textId="77777777" w:rsidTr="000C6F73">
              <w:trPr>
                <w:trHeight w:val="525"/>
                <w:jc w:val="center"/>
              </w:trPr>
              <w:tc>
                <w:tcPr>
                  <w:tcW w:w="6440" w:type="dxa"/>
                  <w:tcBorders>
                    <w:top w:val="nil"/>
                    <w:left w:val="single" w:sz="8" w:space="0" w:color="auto"/>
                    <w:bottom w:val="single" w:sz="8" w:space="0" w:color="auto"/>
                    <w:right w:val="single" w:sz="8" w:space="0" w:color="auto"/>
                  </w:tcBorders>
                  <w:vAlign w:val="center"/>
                  <w:hideMark/>
                </w:tcPr>
                <w:p w14:paraId="7F15EAAB" w14:textId="77777777" w:rsidR="000C6F73" w:rsidRPr="000F0021" w:rsidRDefault="000C6F73"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2021 da utilizzare nel 2022</w:t>
                  </w:r>
                  <w:r>
                    <w:rPr>
                      <w:rFonts w:ascii="Calibri" w:eastAsia="Calibri" w:hAnsi="Calibri"/>
                      <w:color w:val="000000"/>
                      <w:szCs w:val="22"/>
                      <w:lang w:eastAsia="en-US"/>
                    </w:rPr>
                    <w:t xml:space="preserve"> o</w:t>
                  </w:r>
                  <w:r w:rsidRPr="000F0021">
                    <w:rPr>
                      <w:rFonts w:ascii="Calibri" w:eastAsia="Calibri" w:hAnsi="Calibri"/>
                      <w:color w:val="000000"/>
                      <w:szCs w:val="22"/>
                      <w:lang w:eastAsia="en-US"/>
                    </w:rPr>
                    <w:t xml:space="preserve"> nel 2021 solo a seguito delle cessazioni che producono il relativo turn-over</w:t>
                  </w:r>
                </w:p>
              </w:tc>
              <w:tc>
                <w:tcPr>
                  <w:tcW w:w="1080" w:type="dxa"/>
                  <w:tcBorders>
                    <w:top w:val="nil"/>
                    <w:left w:val="nil"/>
                    <w:bottom w:val="single" w:sz="8" w:space="0" w:color="auto"/>
                    <w:right w:val="single" w:sz="8" w:space="0" w:color="auto"/>
                  </w:tcBorders>
                  <w:shd w:val="clear" w:color="auto" w:fill="CCFFCC"/>
                  <w:noWrap/>
                  <w:vAlign w:val="center"/>
                  <w:hideMark/>
                </w:tcPr>
                <w:p w14:paraId="06D89C68" w14:textId="219D0DF1" w:rsidR="000C6F73" w:rsidRPr="000F0021" w:rsidRDefault="000C6F73" w:rsidP="000C6F73">
                  <w:pPr>
                    <w:spacing w:after="160" w:line="256" w:lineRule="auto"/>
                    <w:jc w:val="both"/>
                    <w:rPr>
                      <w:rFonts w:ascii="Calibri" w:eastAsia="Calibri" w:hAnsi="Calibri"/>
                      <w:b/>
                      <w:bCs/>
                      <w:color w:val="000000"/>
                      <w:szCs w:val="22"/>
                      <w:lang w:eastAsia="en-US"/>
                    </w:rPr>
                  </w:pPr>
                  <w:r w:rsidRPr="000F0021">
                    <w:rPr>
                      <w:rFonts w:ascii="Calibri" w:eastAsia="Calibri" w:hAnsi="Calibri"/>
                      <w:b/>
                      <w:bCs/>
                      <w:color w:val="000000"/>
                      <w:szCs w:val="22"/>
                      <w:lang w:eastAsia="en-US"/>
                    </w:rPr>
                    <w:t xml:space="preserve">€ </w:t>
                  </w:r>
                  <w:r w:rsidR="000815FB">
                    <w:rPr>
                      <w:rFonts w:ascii="Calibri" w:eastAsia="Calibri" w:hAnsi="Calibri"/>
                      <w:b/>
                      <w:bCs/>
                      <w:color w:val="000000"/>
                      <w:szCs w:val="22"/>
                      <w:lang w:eastAsia="en-US"/>
                    </w:rPr>
                    <w:t>0</w:t>
                  </w:r>
                </w:p>
              </w:tc>
            </w:tr>
            <w:tr w:rsidR="000C6F73" w:rsidRPr="000F0021" w14:paraId="10BDC350" w14:textId="77777777" w:rsidTr="000C6F73">
              <w:trPr>
                <w:trHeight w:val="315"/>
                <w:jc w:val="center"/>
              </w:trPr>
              <w:tc>
                <w:tcPr>
                  <w:tcW w:w="6440" w:type="dxa"/>
                  <w:tcBorders>
                    <w:top w:val="nil"/>
                    <w:left w:val="single" w:sz="8" w:space="0" w:color="auto"/>
                    <w:bottom w:val="single" w:sz="4" w:space="0" w:color="auto"/>
                    <w:right w:val="single" w:sz="8" w:space="0" w:color="auto"/>
                  </w:tcBorders>
                  <w:vAlign w:val="center"/>
                  <w:hideMark/>
                </w:tcPr>
                <w:p w14:paraId="58F599AE" w14:textId="06ABFB1B" w:rsidR="000C6F73" w:rsidRPr="000F0021" w:rsidRDefault="000C6F73"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2022 da utilizzare nel 2023</w:t>
                  </w:r>
                  <w:r>
                    <w:rPr>
                      <w:rFonts w:ascii="Calibri" w:eastAsia="Calibri" w:hAnsi="Calibri"/>
                      <w:color w:val="000000"/>
                      <w:szCs w:val="22"/>
                      <w:lang w:eastAsia="en-US"/>
                    </w:rPr>
                    <w:t xml:space="preserve"> o</w:t>
                  </w:r>
                  <w:r w:rsidRPr="000F0021">
                    <w:rPr>
                      <w:rFonts w:ascii="Calibri" w:eastAsia="Calibri" w:hAnsi="Calibri"/>
                      <w:color w:val="000000"/>
                      <w:szCs w:val="22"/>
                      <w:lang w:eastAsia="en-US"/>
                    </w:rPr>
                    <w:t xml:space="preserve"> nel 202</w:t>
                  </w:r>
                  <w:r>
                    <w:rPr>
                      <w:rFonts w:ascii="Calibri" w:eastAsia="Calibri" w:hAnsi="Calibri"/>
                      <w:color w:val="000000"/>
                      <w:szCs w:val="22"/>
                      <w:lang w:eastAsia="en-US"/>
                    </w:rPr>
                    <w:t>2</w:t>
                  </w:r>
                  <w:r w:rsidRPr="000F0021">
                    <w:rPr>
                      <w:rFonts w:ascii="Calibri" w:eastAsia="Calibri" w:hAnsi="Calibri"/>
                      <w:color w:val="000000"/>
                      <w:szCs w:val="22"/>
                      <w:lang w:eastAsia="en-US"/>
                    </w:rPr>
                    <w:t xml:space="preserve"> solo a seguito delle cessazioni che producono il relativo turn-over</w:t>
                  </w:r>
                  <w:r w:rsidR="00D6010E">
                    <w:rPr>
                      <w:rFonts w:ascii="Calibri" w:eastAsia="Calibri" w:hAnsi="Calibri"/>
                      <w:color w:val="000000"/>
                      <w:szCs w:val="22"/>
                      <w:lang w:eastAsia="en-US"/>
                    </w:rPr>
                    <w:t xml:space="preserve"> (Al netto delle assunzioni effettivamente realizzate nell’annualità 2022)</w:t>
                  </w:r>
                </w:p>
              </w:tc>
              <w:tc>
                <w:tcPr>
                  <w:tcW w:w="1080" w:type="dxa"/>
                  <w:tcBorders>
                    <w:top w:val="nil"/>
                    <w:left w:val="nil"/>
                    <w:bottom w:val="single" w:sz="4" w:space="0" w:color="auto"/>
                    <w:right w:val="single" w:sz="8" w:space="0" w:color="auto"/>
                  </w:tcBorders>
                  <w:shd w:val="clear" w:color="auto" w:fill="CCFFCC"/>
                  <w:noWrap/>
                  <w:vAlign w:val="center"/>
                  <w:hideMark/>
                </w:tcPr>
                <w:p w14:paraId="61157F33" w14:textId="66356770" w:rsidR="000C6F73" w:rsidRPr="000F0021" w:rsidRDefault="000C6F73" w:rsidP="000C6F73">
                  <w:pPr>
                    <w:spacing w:after="160" w:line="256" w:lineRule="auto"/>
                    <w:jc w:val="both"/>
                    <w:rPr>
                      <w:rFonts w:ascii="Calibri" w:eastAsia="Calibri" w:hAnsi="Calibri"/>
                      <w:b/>
                      <w:bCs/>
                      <w:color w:val="000000"/>
                      <w:szCs w:val="22"/>
                      <w:lang w:eastAsia="en-US"/>
                    </w:rPr>
                  </w:pPr>
                  <w:r w:rsidRPr="000F0021">
                    <w:rPr>
                      <w:rFonts w:ascii="Calibri" w:eastAsia="Calibri" w:hAnsi="Calibri"/>
                      <w:b/>
                      <w:bCs/>
                      <w:color w:val="000000"/>
                      <w:szCs w:val="22"/>
                      <w:lang w:eastAsia="en-US"/>
                    </w:rPr>
                    <w:t xml:space="preserve">€ </w:t>
                  </w:r>
                  <w:r w:rsidR="00E136BE">
                    <w:rPr>
                      <w:rFonts w:ascii="Calibri" w:eastAsia="Calibri" w:hAnsi="Calibri"/>
                      <w:b/>
                      <w:bCs/>
                      <w:color w:val="000000"/>
                      <w:szCs w:val="22"/>
                      <w:lang w:eastAsia="en-US"/>
                    </w:rPr>
                    <w:t>0</w:t>
                  </w:r>
                </w:p>
              </w:tc>
            </w:tr>
            <w:tr w:rsidR="000C6F73" w:rsidRPr="000F0021" w14:paraId="0E76BE4B" w14:textId="77777777" w:rsidTr="000C6F73">
              <w:trPr>
                <w:trHeight w:val="315"/>
                <w:jc w:val="center"/>
              </w:trPr>
              <w:tc>
                <w:tcPr>
                  <w:tcW w:w="6440" w:type="dxa"/>
                  <w:tcBorders>
                    <w:top w:val="single" w:sz="4" w:space="0" w:color="auto"/>
                    <w:left w:val="single" w:sz="4" w:space="0" w:color="auto"/>
                    <w:bottom w:val="single" w:sz="4" w:space="0" w:color="auto"/>
                    <w:right w:val="single" w:sz="4" w:space="0" w:color="auto"/>
                  </w:tcBorders>
                  <w:vAlign w:val="center"/>
                </w:tcPr>
                <w:p w14:paraId="5AFA8A3C" w14:textId="77777777" w:rsidR="000C6F73" w:rsidRPr="000F0021" w:rsidRDefault="000C6F73"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w:t>
                  </w:r>
                  <w:r>
                    <w:rPr>
                      <w:rFonts w:ascii="Calibri" w:eastAsia="Calibri" w:hAnsi="Calibri"/>
                      <w:color w:val="000000"/>
                      <w:szCs w:val="22"/>
                      <w:lang w:eastAsia="en-US"/>
                    </w:rPr>
                    <w:t>3</w:t>
                  </w:r>
                  <w:r w:rsidRPr="000F0021">
                    <w:rPr>
                      <w:rFonts w:ascii="Calibri" w:eastAsia="Calibri" w:hAnsi="Calibri"/>
                      <w:color w:val="000000"/>
                      <w:szCs w:val="22"/>
                      <w:lang w:eastAsia="en-US"/>
                    </w:rPr>
                    <w:t xml:space="preserve"> da utilizzare nel 202</w:t>
                  </w:r>
                  <w:r>
                    <w:rPr>
                      <w:rFonts w:ascii="Calibri" w:eastAsia="Calibri" w:hAnsi="Calibri"/>
                      <w:color w:val="000000"/>
                      <w:szCs w:val="22"/>
                      <w:lang w:eastAsia="en-US"/>
                    </w:rPr>
                    <w:t>4 o</w:t>
                  </w:r>
                  <w:r w:rsidRPr="000F0021">
                    <w:rPr>
                      <w:rFonts w:ascii="Calibri" w:eastAsia="Calibri" w:hAnsi="Calibri"/>
                      <w:color w:val="000000"/>
                      <w:szCs w:val="22"/>
                      <w:lang w:eastAsia="en-US"/>
                    </w:rPr>
                    <w:t xml:space="preserve"> nel 202</w:t>
                  </w:r>
                  <w:r>
                    <w:rPr>
                      <w:rFonts w:ascii="Calibri" w:eastAsia="Calibri" w:hAnsi="Calibri"/>
                      <w:color w:val="000000"/>
                      <w:szCs w:val="22"/>
                      <w:lang w:eastAsia="en-US"/>
                    </w:rPr>
                    <w:t>3</w:t>
                  </w:r>
                  <w:r w:rsidRPr="000F0021">
                    <w:rPr>
                      <w:rFonts w:ascii="Calibri" w:eastAsia="Calibri" w:hAnsi="Calibri"/>
                      <w:color w:val="000000"/>
                      <w:szCs w:val="22"/>
                      <w:lang w:eastAsia="en-US"/>
                    </w:rPr>
                    <w:t xml:space="preserve"> solo a seguito delle cessazioni che producono il relativo turn-over</w:t>
                  </w:r>
                </w:p>
              </w:tc>
              <w:tc>
                <w:tcPr>
                  <w:tcW w:w="108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8960626" w14:textId="37B51A0A" w:rsidR="000C6F73" w:rsidRPr="000F0021" w:rsidRDefault="000C6F73" w:rsidP="000C6F73">
                  <w:pPr>
                    <w:spacing w:after="160" w:line="256" w:lineRule="auto"/>
                    <w:jc w:val="both"/>
                    <w:rPr>
                      <w:rFonts w:ascii="Calibri" w:eastAsia="Calibri" w:hAnsi="Calibri"/>
                      <w:b/>
                      <w:bCs/>
                      <w:color w:val="000000"/>
                      <w:szCs w:val="22"/>
                      <w:lang w:eastAsia="en-US"/>
                    </w:rPr>
                  </w:pPr>
                  <w:r w:rsidRPr="000F0021">
                    <w:rPr>
                      <w:rFonts w:ascii="Calibri" w:eastAsia="Calibri" w:hAnsi="Calibri"/>
                      <w:b/>
                      <w:bCs/>
                      <w:color w:val="000000"/>
                      <w:szCs w:val="22"/>
                      <w:lang w:eastAsia="en-US"/>
                    </w:rPr>
                    <w:t xml:space="preserve">€ </w:t>
                  </w:r>
                  <w:r w:rsidR="005A5ACF">
                    <w:rPr>
                      <w:rFonts w:ascii="Calibri" w:eastAsia="Calibri" w:hAnsi="Calibri"/>
                      <w:b/>
                      <w:bCs/>
                      <w:color w:val="000000"/>
                      <w:szCs w:val="22"/>
                      <w:lang w:eastAsia="en-US"/>
                    </w:rPr>
                    <w:t>31.236,55</w:t>
                  </w:r>
                </w:p>
              </w:tc>
            </w:tr>
            <w:tr w:rsidR="00B0065D" w:rsidRPr="000F0021" w14:paraId="3395B3BC" w14:textId="77777777" w:rsidTr="000C6F73">
              <w:trPr>
                <w:trHeight w:val="315"/>
                <w:jc w:val="center"/>
              </w:trPr>
              <w:tc>
                <w:tcPr>
                  <w:tcW w:w="6440" w:type="dxa"/>
                  <w:tcBorders>
                    <w:top w:val="single" w:sz="4" w:space="0" w:color="auto"/>
                    <w:left w:val="single" w:sz="4" w:space="0" w:color="auto"/>
                    <w:bottom w:val="single" w:sz="4" w:space="0" w:color="auto"/>
                    <w:right w:val="single" w:sz="4" w:space="0" w:color="auto"/>
                  </w:tcBorders>
                  <w:vAlign w:val="center"/>
                </w:tcPr>
                <w:p w14:paraId="43A10D1E" w14:textId="1697AC7E" w:rsidR="00B0065D" w:rsidRPr="000F0021" w:rsidRDefault="00B0065D"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w:t>
                  </w:r>
                  <w:r>
                    <w:rPr>
                      <w:rFonts w:ascii="Calibri" w:eastAsia="Calibri" w:hAnsi="Calibri"/>
                      <w:color w:val="000000"/>
                      <w:szCs w:val="22"/>
                      <w:lang w:eastAsia="en-US"/>
                    </w:rPr>
                    <w:t>4</w:t>
                  </w:r>
                  <w:r w:rsidRPr="000F0021">
                    <w:rPr>
                      <w:rFonts w:ascii="Calibri" w:eastAsia="Calibri" w:hAnsi="Calibri"/>
                      <w:color w:val="000000"/>
                      <w:szCs w:val="22"/>
                      <w:lang w:eastAsia="en-US"/>
                    </w:rPr>
                    <w:t>da utilizzare nel 202</w:t>
                  </w:r>
                  <w:r>
                    <w:rPr>
                      <w:rFonts w:ascii="Calibri" w:eastAsia="Calibri" w:hAnsi="Calibri"/>
                      <w:color w:val="000000"/>
                      <w:szCs w:val="22"/>
                      <w:lang w:eastAsia="en-US"/>
                    </w:rPr>
                    <w:t>5 o</w:t>
                  </w:r>
                  <w:r w:rsidRPr="000F0021">
                    <w:rPr>
                      <w:rFonts w:ascii="Calibri" w:eastAsia="Calibri" w:hAnsi="Calibri"/>
                      <w:color w:val="000000"/>
                      <w:szCs w:val="22"/>
                      <w:lang w:eastAsia="en-US"/>
                    </w:rPr>
                    <w:t xml:space="preserve"> nel 20</w:t>
                  </w:r>
                  <w:r>
                    <w:rPr>
                      <w:rFonts w:ascii="Calibri" w:eastAsia="Calibri" w:hAnsi="Calibri"/>
                      <w:color w:val="000000"/>
                      <w:szCs w:val="22"/>
                      <w:lang w:eastAsia="en-US"/>
                    </w:rPr>
                    <w:t>24</w:t>
                  </w:r>
                  <w:r w:rsidRPr="000F0021">
                    <w:rPr>
                      <w:rFonts w:ascii="Calibri" w:eastAsia="Calibri" w:hAnsi="Calibri"/>
                      <w:color w:val="000000"/>
                      <w:szCs w:val="22"/>
                      <w:lang w:eastAsia="en-US"/>
                    </w:rPr>
                    <w:t xml:space="preserve"> solo a seguito delle cessazioni che producono il relativo turn-over</w:t>
                  </w:r>
                </w:p>
              </w:tc>
              <w:tc>
                <w:tcPr>
                  <w:tcW w:w="108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480FDCF" w14:textId="2EA9B5F9" w:rsidR="00B0065D" w:rsidRPr="000F0021" w:rsidRDefault="00B0065D" w:rsidP="000C6F73">
                  <w:pPr>
                    <w:spacing w:after="160" w:line="256" w:lineRule="auto"/>
                    <w:jc w:val="both"/>
                    <w:rPr>
                      <w:rFonts w:ascii="Calibri" w:eastAsia="Calibri" w:hAnsi="Calibri"/>
                      <w:b/>
                      <w:bCs/>
                      <w:color w:val="000000"/>
                      <w:szCs w:val="22"/>
                      <w:lang w:eastAsia="en-US"/>
                    </w:rPr>
                  </w:pPr>
                  <w:r>
                    <w:rPr>
                      <w:rFonts w:ascii="Calibri" w:eastAsia="Calibri" w:hAnsi="Calibri"/>
                      <w:b/>
                      <w:bCs/>
                      <w:color w:val="000000"/>
                      <w:szCs w:val="22"/>
                      <w:lang w:eastAsia="en-US"/>
                    </w:rPr>
                    <w:t xml:space="preserve">€ </w:t>
                  </w:r>
                  <w:r w:rsidR="005A5ACF">
                    <w:rPr>
                      <w:rFonts w:ascii="Calibri" w:eastAsia="Calibri" w:hAnsi="Calibri"/>
                      <w:b/>
                      <w:bCs/>
                      <w:color w:val="000000"/>
                      <w:szCs w:val="22"/>
                      <w:lang w:eastAsia="en-US"/>
                    </w:rPr>
                    <w:t>42.309,00</w:t>
                  </w:r>
                </w:p>
              </w:tc>
            </w:tr>
            <w:tr w:rsidR="00B0065D" w:rsidRPr="000F0021" w14:paraId="7A78AA9D" w14:textId="77777777" w:rsidTr="000C6F73">
              <w:trPr>
                <w:trHeight w:val="315"/>
                <w:jc w:val="center"/>
              </w:trPr>
              <w:tc>
                <w:tcPr>
                  <w:tcW w:w="6440" w:type="dxa"/>
                  <w:tcBorders>
                    <w:top w:val="single" w:sz="4" w:space="0" w:color="auto"/>
                    <w:left w:val="single" w:sz="4" w:space="0" w:color="auto"/>
                    <w:bottom w:val="single" w:sz="4" w:space="0" w:color="auto"/>
                    <w:right w:val="single" w:sz="4" w:space="0" w:color="auto"/>
                  </w:tcBorders>
                  <w:vAlign w:val="center"/>
                </w:tcPr>
                <w:p w14:paraId="36D70CD9" w14:textId="23D12512" w:rsidR="00B0065D" w:rsidRPr="000F0021" w:rsidRDefault="00B0065D" w:rsidP="000C6F73">
                  <w:pPr>
                    <w:spacing w:after="160" w:line="256" w:lineRule="auto"/>
                    <w:jc w:val="both"/>
                    <w:rPr>
                      <w:rFonts w:ascii="Calibri" w:eastAsia="Calibri" w:hAnsi="Calibri"/>
                      <w:color w:val="000000"/>
                      <w:szCs w:val="22"/>
                      <w:lang w:eastAsia="en-US"/>
                    </w:rPr>
                  </w:pPr>
                  <w:r w:rsidRPr="000F0021">
                    <w:rPr>
                      <w:rFonts w:ascii="Calibri" w:eastAsia="Calibri" w:hAnsi="Calibri"/>
                      <w:color w:val="000000"/>
                      <w:szCs w:val="22"/>
                      <w:lang w:eastAsia="en-US"/>
                    </w:rPr>
                    <w:t>Capacità assunzionale generata dalle cessazioni 202</w:t>
                  </w:r>
                  <w:r>
                    <w:rPr>
                      <w:rFonts w:ascii="Calibri" w:eastAsia="Calibri" w:hAnsi="Calibri"/>
                      <w:color w:val="000000"/>
                      <w:szCs w:val="22"/>
                      <w:lang w:eastAsia="en-US"/>
                    </w:rPr>
                    <w:t xml:space="preserve">5 </w:t>
                  </w:r>
                  <w:r w:rsidRPr="000F0021">
                    <w:rPr>
                      <w:rFonts w:ascii="Calibri" w:eastAsia="Calibri" w:hAnsi="Calibri"/>
                      <w:color w:val="000000"/>
                      <w:szCs w:val="22"/>
                      <w:lang w:eastAsia="en-US"/>
                    </w:rPr>
                    <w:t>da utilizzare nel 202</w:t>
                  </w:r>
                  <w:r>
                    <w:rPr>
                      <w:rFonts w:ascii="Calibri" w:eastAsia="Calibri" w:hAnsi="Calibri"/>
                      <w:color w:val="000000"/>
                      <w:szCs w:val="22"/>
                      <w:lang w:eastAsia="en-US"/>
                    </w:rPr>
                    <w:t>6 o</w:t>
                  </w:r>
                  <w:r w:rsidRPr="000F0021">
                    <w:rPr>
                      <w:rFonts w:ascii="Calibri" w:eastAsia="Calibri" w:hAnsi="Calibri"/>
                      <w:color w:val="000000"/>
                      <w:szCs w:val="22"/>
                      <w:lang w:eastAsia="en-US"/>
                    </w:rPr>
                    <w:t xml:space="preserve"> nel 20</w:t>
                  </w:r>
                  <w:r>
                    <w:rPr>
                      <w:rFonts w:ascii="Calibri" w:eastAsia="Calibri" w:hAnsi="Calibri"/>
                      <w:color w:val="000000"/>
                      <w:szCs w:val="22"/>
                      <w:lang w:eastAsia="en-US"/>
                    </w:rPr>
                    <w:t>25</w:t>
                  </w:r>
                  <w:r w:rsidRPr="000F0021">
                    <w:rPr>
                      <w:rFonts w:ascii="Calibri" w:eastAsia="Calibri" w:hAnsi="Calibri"/>
                      <w:color w:val="000000"/>
                      <w:szCs w:val="22"/>
                      <w:lang w:eastAsia="en-US"/>
                    </w:rPr>
                    <w:t xml:space="preserve"> solo a seguito delle cessazioni che producono il relativo turn-over</w:t>
                  </w:r>
                </w:p>
              </w:tc>
              <w:tc>
                <w:tcPr>
                  <w:tcW w:w="108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314A7DC" w14:textId="1110C4CB" w:rsidR="00B0065D" w:rsidRPr="000F0021" w:rsidRDefault="00B0065D" w:rsidP="000C6F73">
                  <w:pPr>
                    <w:spacing w:after="160" w:line="256" w:lineRule="auto"/>
                    <w:jc w:val="both"/>
                    <w:rPr>
                      <w:rFonts w:ascii="Calibri" w:eastAsia="Calibri" w:hAnsi="Calibri"/>
                      <w:b/>
                      <w:bCs/>
                      <w:color w:val="000000"/>
                      <w:szCs w:val="22"/>
                      <w:lang w:eastAsia="en-US"/>
                    </w:rPr>
                  </w:pPr>
                  <w:r>
                    <w:rPr>
                      <w:rFonts w:ascii="Calibri" w:eastAsia="Calibri" w:hAnsi="Calibri"/>
                      <w:b/>
                      <w:bCs/>
                      <w:color w:val="000000"/>
                      <w:szCs w:val="22"/>
                      <w:lang w:eastAsia="en-US"/>
                    </w:rPr>
                    <w:t xml:space="preserve">€ </w:t>
                  </w:r>
                  <w:r w:rsidR="000815FB">
                    <w:rPr>
                      <w:rFonts w:ascii="Calibri" w:eastAsia="Calibri" w:hAnsi="Calibri"/>
                      <w:b/>
                      <w:bCs/>
                      <w:color w:val="000000"/>
                      <w:szCs w:val="22"/>
                      <w:lang w:eastAsia="en-US"/>
                    </w:rPr>
                    <w:t>0</w:t>
                  </w:r>
                </w:p>
              </w:tc>
            </w:tr>
          </w:tbl>
          <w:p w14:paraId="7AB6C3D6" w14:textId="77777777" w:rsidR="000C6F73" w:rsidRPr="000C6F73" w:rsidRDefault="000C6F73" w:rsidP="000C6F73">
            <w:pPr>
              <w:jc w:val="both"/>
              <w:rPr>
                <w:rFonts w:ascii="Times New Roman" w:hAnsi="Times New Roman"/>
                <w:szCs w:val="22"/>
              </w:rPr>
            </w:pPr>
          </w:p>
          <w:p w14:paraId="6287EC33" w14:textId="77777777" w:rsidR="000C6F73" w:rsidRPr="000C6F73" w:rsidRDefault="000C6F73" w:rsidP="00DF7749">
            <w:pPr>
              <w:pStyle w:val="Paragrafoelenco"/>
              <w:ind w:left="1080"/>
              <w:jc w:val="both"/>
              <w:rPr>
                <w:rFonts w:ascii="Times New Roman" w:hAnsi="Times New Roman"/>
                <w:szCs w:val="22"/>
              </w:rPr>
            </w:pPr>
          </w:p>
          <w:p w14:paraId="093466DF" w14:textId="244BF35D" w:rsidR="00DF7749" w:rsidRDefault="00C611EE" w:rsidP="00653FAD">
            <w:pPr>
              <w:pStyle w:val="Paragrafoelenco"/>
              <w:numPr>
                <w:ilvl w:val="0"/>
                <w:numId w:val="3"/>
              </w:numPr>
              <w:jc w:val="both"/>
              <w:rPr>
                <w:rFonts w:ascii="Times New Roman" w:hAnsi="Times New Roman"/>
                <w:szCs w:val="22"/>
              </w:rPr>
            </w:pPr>
            <w:r w:rsidRPr="00C56DF8">
              <w:rPr>
                <w:rFonts w:ascii="Times New Roman" w:hAnsi="Times New Roman"/>
                <w:szCs w:val="22"/>
              </w:rPr>
              <w:t xml:space="preserve">Come evidenziato dal prospetto di calcolo allegato A) alla presente deliberazione, la capacità assunzionale aggiuntiva complessiva del comune per l’anno </w:t>
            </w:r>
            <w:r w:rsidR="004A1933" w:rsidRPr="00C56DF8">
              <w:rPr>
                <w:rFonts w:ascii="Times New Roman" w:hAnsi="Times New Roman"/>
                <w:szCs w:val="22"/>
              </w:rPr>
              <w:t>2023</w:t>
            </w:r>
            <w:r w:rsidRPr="00C56DF8">
              <w:rPr>
                <w:rFonts w:ascii="Times New Roman" w:hAnsi="Times New Roman"/>
                <w:szCs w:val="22"/>
              </w:rPr>
              <w:t xml:space="preserve">, ammonta pertanto </w:t>
            </w:r>
            <w:r w:rsidR="00DF7749" w:rsidRPr="00DF7749">
              <w:rPr>
                <w:rFonts w:ascii="Times New Roman" w:hAnsi="Times New Roman"/>
                <w:szCs w:val="22"/>
              </w:rPr>
              <w:t>in base al D.M. 17 MARZO 2020 sono pari a</w:t>
            </w:r>
            <w:r w:rsidR="005A5ACF">
              <w:rPr>
                <w:rFonts w:ascii="Times New Roman" w:hAnsi="Times New Roman"/>
                <w:szCs w:val="22"/>
              </w:rPr>
              <w:t xml:space="preserve">l 100% delle spese dei cessati </w:t>
            </w:r>
            <w:r w:rsidR="00DF7749" w:rsidRPr="00DF7749">
              <w:rPr>
                <w:rFonts w:ascii="Times New Roman" w:hAnsi="Times New Roman"/>
                <w:szCs w:val="22"/>
              </w:rPr>
              <w:t xml:space="preserve"> </w:t>
            </w:r>
            <w:bookmarkStart w:id="0" w:name="_Hlk122097884"/>
            <w:r w:rsidR="00DF7749" w:rsidRPr="00DF7749">
              <w:rPr>
                <w:rFonts w:ascii="Times New Roman" w:hAnsi="Times New Roman"/>
                <w:szCs w:val="22"/>
              </w:rPr>
              <w:t>le somme per turn-over dei cessati 2020, 2021 e 2022</w:t>
            </w:r>
            <w:r w:rsidR="008E26F7">
              <w:rPr>
                <w:rFonts w:ascii="Times New Roman" w:hAnsi="Times New Roman"/>
                <w:szCs w:val="22"/>
              </w:rPr>
              <w:t xml:space="preserve"> e 2023</w:t>
            </w:r>
            <w:r w:rsidR="00DF7749" w:rsidRPr="00DF7749">
              <w:rPr>
                <w:rFonts w:ascii="Times New Roman" w:hAnsi="Times New Roman"/>
                <w:szCs w:val="22"/>
              </w:rPr>
              <w:t xml:space="preserve"> in base all’art. 3, comma 5, del D.L. 90/2014 sono pari ad € </w:t>
            </w:r>
            <w:r w:rsidR="005A5ACF">
              <w:rPr>
                <w:rFonts w:ascii="Times New Roman" w:hAnsi="Times New Roman"/>
                <w:szCs w:val="22"/>
              </w:rPr>
              <w:t>31.236,55</w:t>
            </w:r>
            <w:r w:rsidR="00DF7749" w:rsidRPr="00DF7749">
              <w:rPr>
                <w:rFonts w:ascii="Times New Roman" w:hAnsi="Times New Roman"/>
                <w:szCs w:val="22"/>
              </w:rPr>
              <w:t xml:space="preserve">, nell’anno 2023 si potranno effettuare spese per assunzioni a tempo indeterminato pari ad € </w:t>
            </w:r>
            <w:r w:rsidR="005A5ACF">
              <w:rPr>
                <w:rFonts w:ascii="Times New Roman" w:hAnsi="Times New Roman"/>
                <w:szCs w:val="22"/>
              </w:rPr>
              <w:t>31.236,55</w:t>
            </w:r>
            <w:r w:rsidR="00DF7749" w:rsidRPr="00DF7749">
              <w:rPr>
                <w:rFonts w:ascii="Times New Roman" w:hAnsi="Times New Roman"/>
                <w:szCs w:val="22"/>
              </w:rPr>
              <w:t xml:space="preserve"> nell’anno 2024 si potranno effettuare spese per assunzioni a tempo indeterminato pari ad € </w:t>
            </w:r>
            <w:bookmarkEnd w:id="0"/>
            <w:r w:rsidR="005A5ACF">
              <w:rPr>
                <w:rFonts w:ascii="Times New Roman" w:hAnsi="Times New Roman"/>
                <w:szCs w:val="22"/>
              </w:rPr>
              <w:t>73,545,56</w:t>
            </w:r>
            <w:r w:rsidR="00DF7749" w:rsidRPr="00DF7749">
              <w:rPr>
                <w:rFonts w:ascii="Times New Roman" w:hAnsi="Times New Roman"/>
                <w:szCs w:val="22"/>
              </w:rPr>
              <w:t>;</w:t>
            </w:r>
          </w:p>
          <w:p w14:paraId="3BFF21A1" w14:textId="45B9EC04" w:rsidR="00DF7749" w:rsidRDefault="00DF7749" w:rsidP="00E834C0">
            <w:pPr>
              <w:pStyle w:val="Paragrafoelenco"/>
              <w:jc w:val="both"/>
              <w:rPr>
                <w:rFonts w:ascii="Times New Roman" w:hAnsi="Times New Roman"/>
                <w:szCs w:val="22"/>
              </w:rPr>
            </w:pPr>
          </w:p>
          <w:p w14:paraId="08A0222F" w14:textId="77777777" w:rsidR="00DF7749" w:rsidRPr="00C56DF8" w:rsidRDefault="00DF7749" w:rsidP="00E834C0">
            <w:pPr>
              <w:pStyle w:val="Paragrafoelenco"/>
              <w:jc w:val="both"/>
              <w:rPr>
                <w:rFonts w:ascii="Times New Roman" w:hAnsi="Times New Roman"/>
                <w:szCs w:val="22"/>
              </w:rPr>
            </w:pPr>
          </w:p>
          <w:p w14:paraId="4C2362C8" w14:textId="77777777" w:rsidR="005A5ACF" w:rsidRDefault="00C611EE" w:rsidP="00555E67">
            <w:pPr>
              <w:pStyle w:val="Paragrafoelenco"/>
              <w:jc w:val="both"/>
              <w:rPr>
                <w:rFonts w:ascii="Times New Roman" w:hAnsi="Times New Roman"/>
                <w:bCs/>
                <w:szCs w:val="22"/>
              </w:rPr>
            </w:pPr>
            <w:r w:rsidRPr="00C56DF8">
              <w:rPr>
                <w:rFonts w:ascii="Times New Roman" w:hAnsi="Times New Roman"/>
                <w:szCs w:val="22"/>
              </w:rPr>
              <w:t xml:space="preserve">Rilevato che, includendo </w:t>
            </w:r>
            <w:r w:rsidRPr="00C56DF8">
              <w:rPr>
                <w:rFonts w:ascii="Times New Roman" w:hAnsi="Times New Roman"/>
                <w:bCs/>
                <w:szCs w:val="22"/>
              </w:rPr>
              <w:t xml:space="preserve">le azioni assunzionali introdotte dalla presente deliberazione, </w:t>
            </w:r>
            <w:r w:rsidR="00D77449" w:rsidRPr="00C56DF8">
              <w:rPr>
                <w:rFonts w:ascii="Times New Roman" w:hAnsi="Times New Roman"/>
                <w:bCs/>
                <w:szCs w:val="22"/>
              </w:rPr>
              <w:t xml:space="preserve">dettagliate di seguito, </w:t>
            </w:r>
            <w:r w:rsidRPr="00C56DF8">
              <w:rPr>
                <w:rFonts w:ascii="Times New Roman" w:hAnsi="Times New Roman"/>
                <w:bCs/>
                <w:szCs w:val="22"/>
              </w:rPr>
              <w:t xml:space="preserve">si verifica il rispetto del contenimento della spesa di personale previsionale dell’anno </w:t>
            </w:r>
            <w:r w:rsidR="00D77449" w:rsidRPr="00C56DF8">
              <w:rPr>
                <w:rFonts w:ascii="Times New Roman" w:hAnsi="Times New Roman"/>
                <w:bCs/>
                <w:szCs w:val="22"/>
              </w:rPr>
              <w:t>2023</w:t>
            </w:r>
            <w:r w:rsidRPr="00C56DF8">
              <w:rPr>
                <w:rFonts w:ascii="Times New Roman" w:hAnsi="Times New Roman"/>
                <w:bCs/>
                <w:szCs w:val="22"/>
              </w:rPr>
              <w:t xml:space="preserve"> entro la somma data dalla spesa registrata nell’ultimo rendiconto approvato e degli spazi assunzionali concessi dal d.m. 17 marzo 2020, nei seguenti valori:</w:t>
            </w:r>
            <w:r w:rsidR="00555E67">
              <w:rPr>
                <w:rFonts w:ascii="Times New Roman" w:hAnsi="Times New Roman"/>
                <w:bCs/>
                <w:szCs w:val="22"/>
              </w:rPr>
              <w:t xml:space="preserve"> </w:t>
            </w:r>
          </w:p>
          <w:p w14:paraId="568AF584" w14:textId="5392B8D1" w:rsidR="00555E67" w:rsidRPr="00555E67" w:rsidRDefault="00555E67" w:rsidP="00555E67">
            <w:pPr>
              <w:pStyle w:val="Paragrafoelenco"/>
              <w:jc w:val="both"/>
              <w:rPr>
                <w:rFonts w:ascii="Times New Roman" w:hAnsi="Times New Roman"/>
                <w:bCs/>
                <w:szCs w:val="22"/>
              </w:rPr>
            </w:pPr>
            <w:r w:rsidRPr="00555E67">
              <w:rPr>
                <w:rFonts w:ascii="Times New Roman" w:hAnsi="Times New Roman"/>
                <w:bCs/>
                <w:szCs w:val="22"/>
              </w:rPr>
              <w:t xml:space="preserve">elaborato la dotazione organica finanziaria composta dal personale attualmente in servizio e dalle assunzioni previste per il 2023 (ALLEGATO </w:t>
            </w:r>
            <w:r w:rsidR="00934601">
              <w:rPr>
                <w:rFonts w:ascii="Times New Roman" w:hAnsi="Times New Roman"/>
                <w:bCs/>
                <w:szCs w:val="22"/>
              </w:rPr>
              <w:t>C</w:t>
            </w:r>
            <w:r w:rsidRPr="00555E67">
              <w:rPr>
                <w:rFonts w:ascii="Times New Roman" w:hAnsi="Times New Roman"/>
                <w:bCs/>
                <w:szCs w:val="22"/>
              </w:rPr>
              <w:t xml:space="preserve">) che comporta una spesa pari ad </w:t>
            </w:r>
            <w:bookmarkStart w:id="1" w:name="_Hlk536624614"/>
            <w:r w:rsidR="004353C0">
              <w:rPr>
                <w:rFonts w:eastAsia="Calibri" w:cs="Arial"/>
                <w:b/>
                <w:szCs w:val="22"/>
                <w:lang w:eastAsia="en-US"/>
              </w:rPr>
              <w:t xml:space="preserve">€ </w:t>
            </w:r>
            <w:r w:rsidR="005A5ACF">
              <w:rPr>
                <w:rFonts w:eastAsia="Calibri" w:cs="Arial"/>
                <w:b/>
                <w:szCs w:val="22"/>
                <w:lang w:eastAsia="en-US"/>
              </w:rPr>
              <w:t>78,016,27</w:t>
            </w:r>
            <w:r w:rsidR="004353C0">
              <w:rPr>
                <w:rFonts w:eastAsia="Calibri" w:cs="Arial"/>
                <w:b/>
                <w:szCs w:val="22"/>
                <w:lang w:eastAsia="en-US"/>
              </w:rPr>
              <w:t xml:space="preserve"> </w:t>
            </w:r>
            <w:r w:rsidR="004353C0">
              <w:rPr>
                <w:rFonts w:eastAsia="Calibri" w:cs="Arial"/>
                <w:szCs w:val="22"/>
                <w:lang w:eastAsia="en-US"/>
              </w:rPr>
              <w:t xml:space="preserve">di cui </w:t>
            </w:r>
            <w:r w:rsidR="004353C0">
              <w:rPr>
                <w:rFonts w:eastAsia="Calibri" w:cs="Arial"/>
                <w:b/>
                <w:szCs w:val="22"/>
                <w:lang w:eastAsia="en-US"/>
              </w:rPr>
              <w:t xml:space="preserve">€ </w:t>
            </w:r>
            <w:r w:rsidR="005A5ACF">
              <w:rPr>
                <w:rFonts w:eastAsia="Calibri" w:cs="Arial"/>
                <w:b/>
                <w:szCs w:val="22"/>
                <w:lang w:eastAsia="en-US"/>
              </w:rPr>
              <w:t>72.079,59</w:t>
            </w:r>
            <w:r w:rsidR="004353C0">
              <w:rPr>
                <w:rFonts w:eastAsia="Calibri" w:cs="Arial"/>
                <w:b/>
                <w:szCs w:val="22"/>
                <w:lang w:eastAsia="en-US"/>
              </w:rPr>
              <w:t xml:space="preserve"> </w:t>
            </w:r>
            <w:r w:rsidRPr="00555E67">
              <w:rPr>
                <w:rFonts w:ascii="Times New Roman" w:hAnsi="Times New Roman"/>
                <w:bCs/>
                <w:szCs w:val="22"/>
              </w:rPr>
              <w:t xml:space="preserve">soggetti al limite </w:t>
            </w:r>
            <w:r w:rsidR="005631D1">
              <w:rPr>
                <w:rFonts w:ascii="Times New Roman" w:hAnsi="Times New Roman"/>
                <w:bCs/>
                <w:szCs w:val="22"/>
              </w:rPr>
              <w:t>2008</w:t>
            </w:r>
            <w:r w:rsidRPr="00555E67">
              <w:rPr>
                <w:rFonts w:ascii="Times New Roman" w:hAnsi="Times New Roman"/>
                <w:bCs/>
                <w:szCs w:val="22"/>
              </w:rPr>
              <w:t xml:space="preserve">, </w:t>
            </w:r>
            <w:bookmarkEnd w:id="1"/>
            <w:r w:rsidRPr="00555E67">
              <w:rPr>
                <w:rFonts w:ascii="Times New Roman" w:hAnsi="Times New Roman"/>
                <w:bCs/>
                <w:szCs w:val="22"/>
              </w:rPr>
              <w:t xml:space="preserve">che risulta contenuta nei limiti di spesa del </w:t>
            </w:r>
            <w:r w:rsidR="005631D1">
              <w:rPr>
                <w:rFonts w:ascii="Times New Roman" w:hAnsi="Times New Roman"/>
                <w:bCs/>
                <w:szCs w:val="22"/>
              </w:rPr>
              <w:t>2008</w:t>
            </w:r>
            <w:r w:rsidRPr="00555E67">
              <w:rPr>
                <w:rFonts w:ascii="Times New Roman" w:hAnsi="Times New Roman"/>
                <w:bCs/>
                <w:szCs w:val="22"/>
              </w:rPr>
              <w:t xml:space="preserve"> pari a </w:t>
            </w:r>
            <w:r w:rsidR="004110D2" w:rsidRPr="00BD513B">
              <w:rPr>
                <w:rFonts w:eastAsia="Calibri" w:cs="Arial"/>
                <w:b/>
                <w:szCs w:val="22"/>
                <w:lang w:eastAsia="en-US"/>
              </w:rPr>
              <w:t xml:space="preserve">€ </w:t>
            </w:r>
            <w:r w:rsidR="005A5ACF">
              <w:rPr>
                <w:rFonts w:eastAsia="Calibri" w:cs="Arial"/>
                <w:b/>
                <w:szCs w:val="22"/>
                <w:lang w:eastAsia="en-US"/>
              </w:rPr>
              <w:t>113.877</w:t>
            </w:r>
            <w:r w:rsidR="005631D1">
              <w:rPr>
                <w:rFonts w:eastAsia="Calibri" w:cs="Arial"/>
                <w:b/>
                <w:szCs w:val="22"/>
                <w:lang w:eastAsia="en-US"/>
              </w:rPr>
              <w:t>,00</w:t>
            </w:r>
            <w:r w:rsidR="004110D2" w:rsidRPr="00BD513B">
              <w:rPr>
                <w:rFonts w:eastAsia="Calibri" w:cs="Arial"/>
                <w:b/>
                <w:szCs w:val="22"/>
                <w:lang w:eastAsia="en-US"/>
              </w:rPr>
              <w:t>;</w:t>
            </w:r>
          </w:p>
          <w:p w14:paraId="5C9C0082" w14:textId="77777777" w:rsidR="00C611EE" w:rsidRPr="00C56DF8" w:rsidRDefault="00C611EE" w:rsidP="00E834C0">
            <w:pPr>
              <w:pStyle w:val="Paragrafoelenco"/>
              <w:jc w:val="both"/>
              <w:rPr>
                <w:rFonts w:ascii="Times New Roman" w:hAnsi="Times New Roman"/>
                <w:bCs/>
                <w:szCs w:val="22"/>
              </w:rPr>
            </w:pPr>
          </w:p>
          <w:p w14:paraId="46848919" w14:textId="77777777" w:rsidR="00412F30" w:rsidRPr="00C56DF8" w:rsidRDefault="00412F30" w:rsidP="00E834C0">
            <w:pPr>
              <w:pStyle w:val="Paragrafoelenco"/>
              <w:jc w:val="both"/>
              <w:rPr>
                <w:rFonts w:ascii="Times New Roman" w:hAnsi="Times New Roman"/>
                <w:bCs/>
                <w:i/>
                <w:iCs/>
                <w:szCs w:val="22"/>
              </w:rPr>
            </w:pPr>
          </w:p>
          <w:p w14:paraId="54DBEBA1" w14:textId="139F7A7B" w:rsidR="00412F30" w:rsidRPr="00C56DF8" w:rsidRDefault="00D77449" w:rsidP="00E834C0">
            <w:pPr>
              <w:pStyle w:val="Paragrafoelenco"/>
              <w:jc w:val="both"/>
              <w:rPr>
                <w:rFonts w:ascii="Times New Roman" w:hAnsi="Times New Roman"/>
                <w:bCs/>
                <w:szCs w:val="22"/>
              </w:rPr>
            </w:pPr>
            <w:r w:rsidRPr="00C56DF8">
              <w:rPr>
                <w:rFonts w:ascii="Times New Roman" w:hAnsi="Times New Roman"/>
                <w:bCs/>
                <w:szCs w:val="22"/>
              </w:rPr>
              <w:t>Dato atto</w:t>
            </w:r>
            <w:r w:rsidR="00412F30" w:rsidRPr="00C56DF8">
              <w:rPr>
                <w:rFonts w:ascii="Times New Roman" w:hAnsi="Times New Roman"/>
                <w:bCs/>
                <w:szCs w:val="22"/>
              </w:rPr>
              <w:t xml:space="preserve"> che:</w:t>
            </w:r>
          </w:p>
          <w:p w14:paraId="13EB73C8" w14:textId="728AE22E" w:rsidR="00412F30" w:rsidRPr="00C56DF8" w:rsidRDefault="00412F30" w:rsidP="00653FAD">
            <w:pPr>
              <w:pStyle w:val="Paragrafoelenco"/>
              <w:numPr>
                <w:ilvl w:val="0"/>
                <w:numId w:val="3"/>
              </w:numPr>
              <w:jc w:val="both"/>
              <w:rPr>
                <w:rFonts w:ascii="Times New Roman" w:hAnsi="Times New Roman"/>
                <w:bCs/>
                <w:szCs w:val="22"/>
              </w:rPr>
            </w:pPr>
            <w:r w:rsidRPr="00C56DF8">
              <w:rPr>
                <w:rFonts w:ascii="Times New Roman" w:hAnsi="Times New Roman"/>
                <w:bCs/>
                <w:szCs w:val="22"/>
              </w:rPr>
              <w:t>la programmazione dei fabbisogni</w:t>
            </w:r>
            <w:r w:rsidR="00D77449" w:rsidRPr="00C56DF8">
              <w:rPr>
                <w:rFonts w:ascii="Times New Roman" w:hAnsi="Times New Roman"/>
                <w:bCs/>
                <w:szCs w:val="22"/>
              </w:rPr>
              <w:t xml:space="preserve"> </w:t>
            </w:r>
            <w:r w:rsidRPr="00C56DF8">
              <w:rPr>
                <w:rFonts w:ascii="Times New Roman" w:hAnsi="Times New Roman"/>
                <w:bCs/>
                <w:szCs w:val="22"/>
              </w:rPr>
              <w:t>risulta pertanto pienamente compatibile con la disponibilità concessa dal d.m. 17 marzo 2020;</w:t>
            </w:r>
          </w:p>
          <w:p w14:paraId="4AC56F89" w14:textId="7825FCD6" w:rsidR="00412F30" w:rsidRPr="00C56DF8" w:rsidRDefault="00412F30" w:rsidP="00653FAD">
            <w:pPr>
              <w:pStyle w:val="Paragrafoelenco"/>
              <w:numPr>
                <w:ilvl w:val="0"/>
                <w:numId w:val="3"/>
              </w:numPr>
              <w:jc w:val="both"/>
              <w:rPr>
                <w:rFonts w:ascii="Times New Roman" w:hAnsi="Times New Roman"/>
                <w:bCs/>
                <w:i/>
                <w:iCs/>
                <w:szCs w:val="22"/>
              </w:rPr>
            </w:pPr>
            <w:r w:rsidRPr="00C56DF8">
              <w:rPr>
                <w:rFonts w:ascii="Times New Roman" w:hAnsi="Times New Roman"/>
                <w:bCs/>
                <w:szCs w:val="22"/>
              </w:rPr>
              <w:t>tale spesa risulta compatibile, alla luce dei dati previsionali disponibili, con il mantenimento del rispetto della “soglia”, secondo il principio della sostenibilità finanziaria, anche nel corso delle annualità successive</w:t>
            </w:r>
            <w:r w:rsidR="002C55B5" w:rsidRPr="00C56DF8">
              <w:rPr>
                <w:rFonts w:ascii="Times New Roman" w:hAnsi="Times New Roman"/>
                <w:bCs/>
                <w:szCs w:val="22"/>
              </w:rPr>
              <w:t>, oggetto della presente programmazione strategica</w:t>
            </w:r>
            <w:r w:rsidR="00CF3244" w:rsidRPr="00C56DF8">
              <w:rPr>
                <w:rFonts w:ascii="Times New Roman" w:hAnsi="Times New Roman"/>
                <w:bCs/>
                <w:szCs w:val="22"/>
              </w:rPr>
              <w:t xml:space="preserve">, secondo il prospetto Allegato </w:t>
            </w:r>
            <w:r w:rsidR="00555E67">
              <w:rPr>
                <w:rFonts w:ascii="Times New Roman" w:hAnsi="Times New Roman"/>
                <w:bCs/>
                <w:szCs w:val="22"/>
              </w:rPr>
              <w:t xml:space="preserve">B, C, D ed </w:t>
            </w:r>
            <w:r w:rsidR="00934601">
              <w:rPr>
                <w:rFonts w:ascii="Times New Roman" w:hAnsi="Times New Roman"/>
                <w:bCs/>
                <w:szCs w:val="22"/>
              </w:rPr>
              <w:t>E</w:t>
            </w:r>
            <w:r w:rsidR="00CF3244" w:rsidRPr="00C56DF8">
              <w:rPr>
                <w:rFonts w:ascii="Times New Roman" w:hAnsi="Times New Roman"/>
                <w:bCs/>
                <w:szCs w:val="22"/>
              </w:rPr>
              <w:t xml:space="preserve"> alla presente programmazione</w:t>
            </w:r>
            <w:r w:rsidRPr="00C56DF8">
              <w:rPr>
                <w:rFonts w:ascii="Times New Roman" w:hAnsi="Times New Roman"/>
                <w:bCs/>
                <w:szCs w:val="22"/>
              </w:rPr>
              <w:t xml:space="preserve">; </w:t>
            </w:r>
          </w:p>
          <w:p w14:paraId="1354B73C" w14:textId="328E66B8" w:rsidR="00412F30" w:rsidRPr="00C56DF8" w:rsidRDefault="00934601" w:rsidP="00653FAD">
            <w:pPr>
              <w:pStyle w:val="Paragrafoelenco"/>
              <w:numPr>
                <w:ilvl w:val="0"/>
                <w:numId w:val="3"/>
              </w:numPr>
              <w:jc w:val="both"/>
              <w:rPr>
                <w:rFonts w:ascii="Times New Roman" w:hAnsi="Times New Roman"/>
                <w:bCs/>
                <w:i/>
                <w:iCs/>
                <w:szCs w:val="22"/>
              </w:rPr>
            </w:pPr>
            <w:r>
              <w:rPr>
                <w:rFonts w:ascii="Times New Roman" w:hAnsi="Times New Roman"/>
                <w:bCs/>
                <w:szCs w:val="22"/>
              </w:rPr>
              <w:t>gli</w:t>
            </w:r>
            <w:r w:rsidR="00412F30" w:rsidRPr="00C56DF8">
              <w:rPr>
                <w:rFonts w:ascii="Times New Roman" w:hAnsi="Times New Roman"/>
                <w:bCs/>
                <w:szCs w:val="22"/>
              </w:rPr>
              <w:t xml:space="preserve"> spazi assunzionali, concessi in applicazione del d.m. 17 marzo 2020, sono utilizzati, conformemente alla norma</w:t>
            </w:r>
            <w:r w:rsidR="002C55B5" w:rsidRPr="00C56DF8">
              <w:rPr>
                <w:rFonts w:ascii="Times New Roman" w:hAnsi="Times New Roman"/>
                <w:bCs/>
                <w:szCs w:val="22"/>
              </w:rPr>
              <w:t xml:space="preserve"> dell’articolo 33, comma 2, su richiamato</w:t>
            </w:r>
            <w:r w:rsidR="00412F30" w:rsidRPr="00C56DF8">
              <w:rPr>
                <w:rFonts w:ascii="Times New Roman" w:hAnsi="Times New Roman"/>
                <w:bCs/>
                <w:szCs w:val="22"/>
              </w:rPr>
              <w:t>, per assunzioni esclusivamente a tempo indeterminato</w:t>
            </w:r>
            <w:r w:rsidR="00412F30" w:rsidRPr="00C56DF8">
              <w:rPr>
                <w:rFonts w:ascii="Times New Roman" w:hAnsi="Times New Roman"/>
                <w:bCs/>
                <w:i/>
                <w:iCs/>
                <w:szCs w:val="22"/>
              </w:rPr>
              <w:t>.</w:t>
            </w:r>
          </w:p>
          <w:p w14:paraId="56ABA491" w14:textId="77777777" w:rsidR="00CF1812" w:rsidRPr="00C56DF8" w:rsidRDefault="00CF1812" w:rsidP="00CF1812">
            <w:pPr>
              <w:ind w:left="720"/>
              <w:jc w:val="both"/>
              <w:rPr>
                <w:rFonts w:ascii="Times New Roman" w:hAnsi="Times New Roman"/>
                <w:bCs/>
                <w:i/>
                <w:iCs/>
                <w:szCs w:val="22"/>
              </w:rPr>
            </w:pPr>
          </w:p>
          <w:p w14:paraId="0389799F" w14:textId="4E1132ED" w:rsidR="006B5E78" w:rsidRPr="00C56DF8" w:rsidRDefault="006B5E78" w:rsidP="006B5E78">
            <w:pPr>
              <w:pStyle w:val="Paragrafoelenco"/>
              <w:jc w:val="both"/>
              <w:rPr>
                <w:rFonts w:ascii="Times New Roman" w:hAnsi="Times New Roman"/>
                <w:b/>
                <w:bCs/>
                <w:szCs w:val="22"/>
              </w:rPr>
            </w:pPr>
            <w:r w:rsidRPr="00C56DF8">
              <w:rPr>
                <w:rFonts w:ascii="Times New Roman" w:hAnsi="Times New Roman"/>
                <w:b/>
                <w:bCs/>
                <w:szCs w:val="22"/>
              </w:rPr>
              <w:t>a.2) verifica del rispetto del tetto alla spesa di personale</w:t>
            </w:r>
          </w:p>
          <w:p w14:paraId="5AD048E6" w14:textId="77777777" w:rsidR="006B5E78" w:rsidRPr="00C56DF8" w:rsidRDefault="006B5E78" w:rsidP="00E834C0">
            <w:pPr>
              <w:pStyle w:val="Paragrafoelenco"/>
              <w:jc w:val="both"/>
              <w:rPr>
                <w:rFonts w:ascii="Times New Roman" w:hAnsi="Times New Roman"/>
                <w:bCs/>
                <w:i/>
                <w:iCs/>
                <w:szCs w:val="22"/>
              </w:rPr>
            </w:pPr>
          </w:p>
          <w:p w14:paraId="02F99F60" w14:textId="764E79E2" w:rsidR="005E053D" w:rsidRPr="00C56DF8" w:rsidRDefault="002C55B5" w:rsidP="00E834C0">
            <w:pPr>
              <w:pStyle w:val="Paragrafoelenco"/>
              <w:jc w:val="both"/>
              <w:rPr>
                <w:rFonts w:ascii="Times New Roman" w:hAnsi="Times New Roman"/>
                <w:bCs/>
                <w:szCs w:val="22"/>
              </w:rPr>
            </w:pPr>
            <w:r w:rsidRPr="00C56DF8">
              <w:rPr>
                <w:rFonts w:ascii="Times New Roman" w:hAnsi="Times New Roman"/>
                <w:bCs/>
                <w:szCs w:val="22"/>
              </w:rPr>
              <w:t xml:space="preserve">Verificato, inoltre, </w:t>
            </w:r>
            <w:r w:rsidR="005E053D" w:rsidRPr="00C56DF8">
              <w:rPr>
                <w:rFonts w:ascii="Times New Roman" w:hAnsi="Times New Roman"/>
                <w:bCs/>
                <w:szCs w:val="22"/>
              </w:rPr>
              <w:t>che</w:t>
            </w:r>
            <w:r w:rsidR="006D1A80" w:rsidRPr="00C56DF8">
              <w:rPr>
                <w:rFonts w:ascii="Times New Roman" w:hAnsi="Times New Roman"/>
                <w:bCs/>
                <w:szCs w:val="22"/>
              </w:rPr>
              <w:t xml:space="preserve"> </w:t>
            </w:r>
            <w:r w:rsidR="00822403" w:rsidRPr="00C56DF8">
              <w:rPr>
                <w:rFonts w:ascii="Times New Roman" w:hAnsi="Times New Roman"/>
                <w:bCs/>
                <w:szCs w:val="22"/>
              </w:rPr>
              <w:t xml:space="preserve">la spesa di personale per l’anno 2023, derivante dalla presente programmazione dei fabbisogni di personale, è compatibile con il rispetto del tetto di spesa di personale in valore assoluto determinato ai sensi dell’art. 1, </w:t>
            </w:r>
            <w:r w:rsidR="00822403" w:rsidRPr="004110D2">
              <w:rPr>
                <w:rFonts w:ascii="Times New Roman" w:hAnsi="Times New Roman"/>
                <w:bCs/>
                <w:szCs w:val="22"/>
              </w:rPr>
              <w:t xml:space="preserve">comma </w:t>
            </w:r>
            <w:r w:rsidR="00545CC1">
              <w:rPr>
                <w:rFonts w:ascii="Times New Roman" w:hAnsi="Times New Roman"/>
                <w:bCs/>
                <w:i/>
                <w:iCs/>
                <w:szCs w:val="22"/>
              </w:rPr>
              <w:t>562</w:t>
            </w:r>
            <w:r w:rsidR="00822403" w:rsidRPr="004110D2">
              <w:rPr>
                <w:rFonts w:ascii="Times New Roman" w:hAnsi="Times New Roman"/>
                <w:bCs/>
                <w:szCs w:val="22"/>
              </w:rPr>
              <w:t xml:space="preserve"> della </w:t>
            </w:r>
            <w:r w:rsidR="00822403" w:rsidRPr="00C56DF8">
              <w:rPr>
                <w:rFonts w:ascii="Times New Roman" w:hAnsi="Times New Roman"/>
                <w:bCs/>
                <w:szCs w:val="22"/>
              </w:rPr>
              <w:t xml:space="preserve">legge 296/2006 </w:t>
            </w:r>
            <w:r w:rsidR="00082470" w:rsidRPr="00C56DF8">
              <w:rPr>
                <w:rFonts w:ascii="Times New Roman" w:hAnsi="Times New Roman"/>
                <w:bCs/>
                <w:color w:val="FF0000"/>
                <w:szCs w:val="22"/>
              </w:rPr>
              <w:t xml:space="preserve"> </w:t>
            </w:r>
            <w:r w:rsidR="00822403" w:rsidRPr="00C56DF8">
              <w:rPr>
                <w:rFonts w:ascii="Times New Roman" w:hAnsi="Times New Roman"/>
                <w:bCs/>
                <w:szCs w:val="22"/>
              </w:rPr>
              <w:t>come segue:</w:t>
            </w:r>
          </w:p>
          <w:p w14:paraId="4C3898FA" w14:textId="77777777" w:rsidR="00822403" w:rsidRPr="00C56DF8" w:rsidRDefault="00822403" w:rsidP="00E834C0">
            <w:pPr>
              <w:pStyle w:val="Paragrafoelenco"/>
              <w:jc w:val="both"/>
              <w:rPr>
                <w:rFonts w:ascii="Times New Roman" w:hAnsi="Times New Roman"/>
                <w:bCs/>
                <w:szCs w:val="22"/>
              </w:rPr>
            </w:pPr>
          </w:p>
          <w:tbl>
            <w:tblPr>
              <w:tblW w:w="7544"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4"/>
            </w:tblGrid>
            <w:tr w:rsidR="00F12F46" w:rsidRPr="00C56DF8" w14:paraId="1E199A2D" w14:textId="77777777" w:rsidTr="00690A2E">
              <w:tc>
                <w:tcPr>
                  <w:tcW w:w="7544" w:type="dxa"/>
                  <w:shd w:val="clear" w:color="auto" w:fill="auto"/>
                </w:tcPr>
                <w:p w14:paraId="74989F06" w14:textId="51E728F0" w:rsidR="00F12F46" w:rsidRPr="00555E67" w:rsidRDefault="00F12F46" w:rsidP="005D174F">
                  <w:pPr>
                    <w:keepNext/>
                    <w:spacing w:before="240" w:after="60"/>
                    <w:jc w:val="both"/>
                    <w:outlineLvl w:val="3"/>
                    <w:rPr>
                      <w:rFonts w:ascii="Times New Roman" w:hAnsi="Times New Roman"/>
                      <w:b/>
                      <w:bCs/>
                      <w:szCs w:val="22"/>
                    </w:rPr>
                  </w:pPr>
                  <w:r w:rsidRPr="00555E67">
                    <w:rPr>
                      <w:rFonts w:ascii="Times New Roman" w:hAnsi="Times New Roman"/>
                      <w:bCs/>
                      <w:szCs w:val="22"/>
                    </w:rPr>
                    <w:t xml:space="preserve">Valore medio di riferimento </w:t>
                  </w:r>
                  <w:r w:rsidRPr="00555E67">
                    <w:rPr>
                      <w:rFonts w:ascii="Times New Roman" w:hAnsi="Times New Roman"/>
                      <w:bCs/>
                      <w:i/>
                      <w:iCs/>
                      <w:szCs w:val="22"/>
                    </w:rPr>
                    <w:t>anno 20</w:t>
                  </w:r>
                  <w:r w:rsidR="00545CC1">
                    <w:rPr>
                      <w:rFonts w:ascii="Times New Roman" w:hAnsi="Times New Roman"/>
                      <w:bCs/>
                      <w:i/>
                      <w:iCs/>
                      <w:szCs w:val="22"/>
                    </w:rPr>
                    <w:t>08</w:t>
                  </w:r>
                  <w:r w:rsidRPr="00555E67">
                    <w:rPr>
                      <w:rFonts w:ascii="Times New Roman" w:hAnsi="Times New Roman"/>
                      <w:b/>
                      <w:bCs/>
                      <w:szCs w:val="22"/>
                    </w:rPr>
                    <w:t xml:space="preserve">: </w:t>
                  </w:r>
                  <w:r w:rsidRPr="00555E67">
                    <w:rPr>
                      <w:rFonts w:ascii="Times New Roman" w:hAnsi="Times New Roman"/>
                      <w:szCs w:val="22"/>
                    </w:rPr>
                    <w:t xml:space="preserve">Euro </w:t>
                  </w:r>
                  <w:r w:rsidR="008B2E84" w:rsidRPr="00844863">
                    <w:rPr>
                      <w:rFonts w:eastAsia="Calibri" w:cs="Arial"/>
                      <w:bCs/>
                      <w:szCs w:val="22"/>
                      <w:lang w:eastAsia="en-US"/>
                    </w:rPr>
                    <w:t xml:space="preserve"> </w:t>
                  </w:r>
                  <w:r w:rsidR="000815FB" w:rsidRPr="00BD513B">
                    <w:rPr>
                      <w:rFonts w:eastAsia="Calibri" w:cs="Arial"/>
                      <w:b/>
                      <w:szCs w:val="22"/>
                      <w:lang w:eastAsia="en-US"/>
                    </w:rPr>
                    <w:t xml:space="preserve">€ </w:t>
                  </w:r>
                  <w:r w:rsidR="00934601">
                    <w:rPr>
                      <w:rFonts w:eastAsia="Calibri" w:cs="Arial"/>
                      <w:b/>
                      <w:szCs w:val="22"/>
                      <w:lang w:eastAsia="en-US"/>
                    </w:rPr>
                    <w:t>72.079,59</w:t>
                  </w:r>
                  <w:r w:rsidR="008B2E84" w:rsidRPr="00844863">
                    <w:rPr>
                      <w:rFonts w:eastAsia="Calibri" w:cs="Arial"/>
                      <w:bCs/>
                      <w:szCs w:val="22"/>
                      <w:lang w:eastAsia="en-US"/>
                    </w:rPr>
                    <w:t>;</w:t>
                  </w:r>
                </w:p>
              </w:tc>
            </w:tr>
            <w:tr w:rsidR="00F12F46" w:rsidRPr="00C56DF8" w14:paraId="424FED04" w14:textId="77777777" w:rsidTr="00690A2E">
              <w:tc>
                <w:tcPr>
                  <w:tcW w:w="7544" w:type="dxa"/>
                  <w:shd w:val="clear" w:color="auto" w:fill="auto"/>
                </w:tcPr>
                <w:p w14:paraId="573C6087" w14:textId="3C189D9A" w:rsidR="00F12F46" w:rsidRPr="00555E67" w:rsidRDefault="00F12F46" w:rsidP="005D174F">
                  <w:pPr>
                    <w:keepNext/>
                    <w:spacing w:before="240" w:after="60"/>
                    <w:jc w:val="both"/>
                    <w:outlineLvl w:val="3"/>
                    <w:rPr>
                      <w:rFonts w:ascii="Times New Roman" w:hAnsi="Times New Roman"/>
                      <w:szCs w:val="22"/>
                    </w:rPr>
                  </w:pPr>
                  <w:r w:rsidRPr="00555E67">
                    <w:rPr>
                      <w:rFonts w:ascii="Times New Roman" w:hAnsi="Times New Roman"/>
                      <w:szCs w:val="22"/>
                    </w:rPr>
                    <w:t xml:space="preserve">spesa di personale, ai sensi del comma </w:t>
                  </w:r>
                  <w:r w:rsidRPr="00555E67">
                    <w:rPr>
                      <w:rFonts w:ascii="Times New Roman" w:hAnsi="Times New Roman"/>
                      <w:bCs/>
                      <w:i/>
                      <w:iCs/>
                      <w:szCs w:val="22"/>
                    </w:rPr>
                    <w:t>5</w:t>
                  </w:r>
                  <w:r w:rsidR="00545CC1">
                    <w:rPr>
                      <w:rFonts w:ascii="Times New Roman" w:hAnsi="Times New Roman"/>
                      <w:bCs/>
                      <w:i/>
                      <w:iCs/>
                      <w:szCs w:val="22"/>
                    </w:rPr>
                    <w:t>62</w:t>
                  </w:r>
                  <w:r w:rsidRPr="00555E67">
                    <w:rPr>
                      <w:rFonts w:ascii="Times New Roman" w:hAnsi="Times New Roman"/>
                      <w:szCs w:val="22"/>
                    </w:rPr>
                    <w:t xml:space="preserve">, per l’anno 2023: Euro </w:t>
                  </w:r>
                  <w:r w:rsidR="00555E67" w:rsidRPr="00555E67">
                    <w:rPr>
                      <w:rFonts w:ascii="Times New Roman" w:hAnsi="Times New Roman"/>
                      <w:bCs/>
                      <w:szCs w:val="22"/>
                    </w:rPr>
                    <w:t xml:space="preserve">€ </w:t>
                  </w:r>
                  <w:r w:rsidR="00934601">
                    <w:rPr>
                      <w:rFonts w:eastAsia="Calibri" w:cs="Arial"/>
                      <w:b/>
                      <w:szCs w:val="22"/>
                      <w:lang w:eastAsia="en-US"/>
                    </w:rPr>
                    <w:t>113.877,00;</w:t>
                  </w:r>
                </w:p>
              </w:tc>
            </w:tr>
          </w:tbl>
          <w:p w14:paraId="41D2543F" w14:textId="77777777" w:rsidR="00F12F46" w:rsidRPr="00C56DF8" w:rsidRDefault="00F12F46" w:rsidP="00F12F46">
            <w:pPr>
              <w:jc w:val="both"/>
              <w:rPr>
                <w:rFonts w:ascii="Times New Roman" w:hAnsi="Times New Roman"/>
                <w:bCs/>
                <w:szCs w:val="22"/>
              </w:rPr>
            </w:pPr>
          </w:p>
          <w:p w14:paraId="4920A37E" w14:textId="0E920613" w:rsidR="006B5E78" w:rsidRPr="00C56DF8" w:rsidRDefault="006B5E78" w:rsidP="006B5E78">
            <w:pPr>
              <w:pStyle w:val="Paragrafoelenco"/>
              <w:jc w:val="both"/>
              <w:rPr>
                <w:rFonts w:ascii="Times New Roman" w:hAnsi="Times New Roman"/>
                <w:b/>
                <w:bCs/>
                <w:szCs w:val="22"/>
              </w:rPr>
            </w:pPr>
            <w:r w:rsidRPr="00C56DF8">
              <w:rPr>
                <w:rFonts w:ascii="Times New Roman" w:hAnsi="Times New Roman"/>
                <w:b/>
                <w:bCs/>
                <w:szCs w:val="22"/>
              </w:rPr>
              <w:t>a.3) verifica del rispetto del tetto alla spesa per lavoro flessibile</w:t>
            </w:r>
          </w:p>
          <w:p w14:paraId="03EF379B" w14:textId="77777777" w:rsidR="00653FAD" w:rsidRDefault="00653FAD" w:rsidP="00E834C0">
            <w:pPr>
              <w:pStyle w:val="Paragrafoelenco"/>
              <w:jc w:val="both"/>
              <w:rPr>
                <w:rFonts w:ascii="Times New Roman" w:hAnsi="Times New Roman"/>
                <w:bCs/>
                <w:szCs w:val="22"/>
              </w:rPr>
            </w:pPr>
          </w:p>
          <w:p w14:paraId="7100E48B" w14:textId="738AF134" w:rsidR="00653FAD" w:rsidRPr="00653FAD" w:rsidRDefault="00653FAD" w:rsidP="00653FAD">
            <w:p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Richiamato il vigente art. 9, comma 28, del d.l. 78/2010, convertito con modificazioni dalla legge 122/2010, come modificato, da ultimo, dall’art. 11, comma 4-bis, del d.l. 90/2014, che fissa un tetto alle cosidette assunzioni flessibili  “possono avvalersi di personale a tempo determinato o con convenzioni ovvero con contratti di </w:t>
            </w:r>
            <w:r w:rsidRPr="00653FAD">
              <w:rPr>
                <w:rFonts w:ascii="Times New Roman" w:hAnsi="Times New Roman"/>
                <w:bCs/>
                <w:szCs w:val="22"/>
              </w:rPr>
              <w:lastRenderedPageBreak/>
              <w:t xml:space="preserve">collaborazione coordinata e continuativa, nel limite del 50 per cento della spesa sostenuta per le stesse finalità nell'anno 2009. Per le medesime amministrazioni la spesa per personale relativa a contratti di formazione-lavoro, ad altri rapporti formativi, alla somministrazione di lavoro, nonché al lavoro accessorio di cui all'articolo 70, comma 1, lettera d) del decreto legislativo 10 settembre 2003, n. 276, e successive modificazioni ed integrazioni, non può essere superiore al 50 per cento di quella sostenuta per le rispettive finalità nell'anno 2009. I limiti di cui al primo e al secondo periodo non si applicano, anche con riferimento ai lavori socialmente utili, ai lavori di pubblica utilità e ai cantieri di lavoro, nel caso in cui il costo del personale sia coperto da finanziamenti specifici aggiuntivi o da fondi dell'Unione europea; nell'ipotesi di cofinanziamento, i limiti medesimi non si applicano con riferimento alla sola quota finanziata da altri soggetti. Le disposizioni di cui al presente comma costituiscono principi generali ai fini del coordinamento della finanza pubblica ai quali si adeguano le regioni, le province autonome, gli enti locali e gli enti del Servizio sanitario nazionale.. A decorrere dal 2013 gli enti locali possono superare il predetto limite per le assunzioni strettamente necessarie a garantire l'esercizio delle funzioni di polizia locale, di istruzione pubblica e del settore sociale nonché per le spese sostenute per lo svolgimento di attività sociali mediante forme di lavoro accessorio di cui all'articolo 70, comma 1, del decreto legislativo 10 settembre 2003, n. 276. Le limitazioni previste dal presente comma non si applicano agli enti locali in regola con l'obbligo di riduzione delle spese di personale di cui ai commi </w:t>
            </w:r>
            <w:r w:rsidR="00545CC1">
              <w:rPr>
                <w:rFonts w:ascii="Times New Roman" w:hAnsi="Times New Roman"/>
                <w:bCs/>
                <w:szCs w:val="22"/>
              </w:rPr>
              <w:t>562</w:t>
            </w:r>
            <w:r w:rsidRPr="00653FAD">
              <w:rPr>
                <w:rFonts w:ascii="Times New Roman" w:hAnsi="Times New Roman"/>
                <w:bCs/>
                <w:szCs w:val="22"/>
              </w:rPr>
              <w:t xml:space="preserve"> dell'articolo 1 della legge 27 dicembre 2006, n. 296, e successive modificazioni, nell'ambito delle risorse disponibili a legislazione vigente. Resta fermo che comunque la spesa complessiva non può essere superiore alla spesa sostenuta per le stesse finalità nell'anno 2009. Sono in ogni caso escluse dalle limitazioni previste dal presente comma le spese sostenute per le assunzioni a tempo determinato ai sensi dell'articolo 110, comma 1, del testo unico di cui al decreto legislativo 18 agosto 2000, n. 267”, ed inoltre che “ il mancato rispetto dei limiti di cui al presente comma costituisce illecito disciplinare e determina responsabilità erariale. Per le amministrazioni che nell'anno 2009 non hanno sostenuto spese per le finalità previste ai sensi del presente comma, il limite di cui al primo periodo è computato con riferimento alla media sostenuta per le stesse finalità nel triennio 2007-2009”.</w:t>
            </w:r>
          </w:p>
          <w:p w14:paraId="4A4C901F" w14:textId="77777777" w:rsidR="00653FAD" w:rsidRPr="00653FAD" w:rsidRDefault="00653FAD" w:rsidP="00653FAD">
            <w:pPr>
              <w:autoSpaceDE w:val="0"/>
              <w:autoSpaceDN w:val="0"/>
              <w:adjustRightInd w:val="0"/>
              <w:rPr>
                <w:rFonts w:ascii="Times New Roman" w:hAnsi="Times New Roman"/>
                <w:bCs/>
                <w:szCs w:val="22"/>
              </w:rPr>
            </w:pPr>
          </w:p>
          <w:p w14:paraId="7641D731" w14:textId="012A177A" w:rsidR="00653FAD" w:rsidRPr="00653FAD" w:rsidRDefault="00653FAD" w:rsidP="00653FAD">
            <w:pPr>
              <w:jc w:val="both"/>
              <w:rPr>
                <w:rFonts w:ascii="Times New Roman" w:hAnsi="Times New Roman"/>
                <w:bCs/>
                <w:szCs w:val="22"/>
              </w:rPr>
            </w:pPr>
            <w:r w:rsidRPr="00653FAD">
              <w:rPr>
                <w:rFonts w:ascii="Times New Roman" w:hAnsi="Times New Roman"/>
                <w:bCs/>
                <w:szCs w:val="22"/>
              </w:rPr>
              <w:t xml:space="preserve">Vista la deliberazione n. 2/SEZAUT/2015/QMIG della Corte dei Conti, sezione Autonomie, che chiarisce “Le limitazioni dettate dai primi sei periodi dell’art. 9, comma 28, del d.l. n. 78/2010, in materia di assunzioni per il lavoro flessibile, alla luce dell’art. 11, comma 4-bis, del d.l. 90/2014 (che ha introdotto il settimo periodo del citato comma 28), non si applicano agli enti locali in regola con l’obbligo di riduzione della spesa di personale di cui ai commi </w:t>
            </w:r>
            <w:r w:rsidR="00545CC1">
              <w:rPr>
                <w:rFonts w:ascii="Times New Roman" w:hAnsi="Times New Roman"/>
                <w:bCs/>
                <w:szCs w:val="22"/>
              </w:rPr>
              <w:t>562</w:t>
            </w:r>
            <w:r w:rsidRPr="00653FAD">
              <w:rPr>
                <w:rFonts w:ascii="Times New Roman" w:hAnsi="Times New Roman"/>
                <w:bCs/>
                <w:szCs w:val="22"/>
              </w:rPr>
              <w:t xml:space="preserve"> dell’art. 1, legge n. 296/2006, ferma restando la vigenza del limite massimo della spesa sostenuta per le medesime finalità nell’anno 2009, ai sensi del successivo ottavo periodo dello stesso comma 28.”; </w:t>
            </w:r>
          </w:p>
          <w:p w14:paraId="56E95C26" w14:textId="77777777" w:rsidR="00653FAD" w:rsidRPr="00653FAD" w:rsidRDefault="00653FAD" w:rsidP="00653FAD">
            <w:pPr>
              <w:jc w:val="both"/>
              <w:rPr>
                <w:rFonts w:ascii="Times New Roman" w:hAnsi="Times New Roman"/>
                <w:bCs/>
                <w:szCs w:val="22"/>
              </w:rPr>
            </w:pPr>
          </w:p>
          <w:p w14:paraId="2F09888F" w14:textId="409C421E" w:rsidR="00653FAD" w:rsidRPr="00653FAD" w:rsidRDefault="00653FAD" w:rsidP="00653FAD">
            <w:pPr>
              <w:jc w:val="both"/>
              <w:rPr>
                <w:rFonts w:ascii="Times New Roman" w:hAnsi="Times New Roman"/>
                <w:bCs/>
                <w:szCs w:val="22"/>
              </w:rPr>
            </w:pPr>
            <w:r w:rsidRPr="00653FAD">
              <w:rPr>
                <w:rFonts w:ascii="Times New Roman" w:hAnsi="Times New Roman"/>
                <w:bCs/>
                <w:szCs w:val="22"/>
              </w:rPr>
              <w:t xml:space="preserve">Dato atto </w:t>
            </w:r>
            <w:r w:rsidR="00CA2EFA">
              <w:rPr>
                <w:rFonts w:ascii="Times New Roman" w:hAnsi="Times New Roman"/>
                <w:bCs/>
                <w:szCs w:val="22"/>
              </w:rPr>
              <w:t>che il limite per le</w:t>
            </w:r>
            <w:r w:rsidRPr="00653FAD">
              <w:rPr>
                <w:rFonts w:ascii="Times New Roman" w:hAnsi="Times New Roman"/>
                <w:bCs/>
                <w:szCs w:val="22"/>
              </w:rPr>
              <w:t xml:space="preserve"> spese per le assunzioni flessibili </w:t>
            </w:r>
            <w:r w:rsidR="00CA2EFA">
              <w:rPr>
                <w:rFonts w:ascii="Times New Roman" w:hAnsi="Times New Roman"/>
                <w:bCs/>
                <w:szCs w:val="22"/>
              </w:rPr>
              <w:t>è</w:t>
            </w:r>
            <w:r w:rsidR="00907AFA">
              <w:rPr>
                <w:rFonts w:ascii="Times New Roman" w:hAnsi="Times New Roman"/>
                <w:bCs/>
                <w:szCs w:val="22"/>
              </w:rPr>
              <w:t xml:space="preserve"> pari ad € </w:t>
            </w:r>
            <w:r w:rsidR="00934601">
              <w:rPr>
                <w:rFonts w:ascii="Times New Roman" w:hAnsi="Times New Roman"/>
                <w:bCs/>
                <w:szCs w:val="22"/>
              </w:rPr>
              <w:t>0</w:t>
            </w:r>
            <w:r w:rsidRPr="00653FAD">
              <w:rPr>
                <w:rFonts w:ascii="Times New Roman" w:hAnsi="Times New Roman"/>
                <w:bCs/>
                <w:szCs w:val="22"/>
              </w:rPr>
              <w:t>;</w:t>
            </w:r>
          </w:p>
          <w:p w14:paraId="1BC8A261" w14:textId="77777777" w:rsidR="00653FAD" w:rsidRPr="00653FAD" w:rsidRDefault="00653FAD" w:rsidP="00653FAD">
            <w:pPr>
              <w:jc w:val="both"/>
              <w:rPr>
                <w:rFonts w:ascii="Times New Roman" w:hAnsi="Times New Roman"/>
                <w:bCs/>
                <w:szCs w:val="22"/>
              </w:rPr>
            </w:pPr>
          </w:p>
          <w:p w14:paraId="7B0A2133" w14:textId="77777777" w:rsidR="00653FAD" w:rsidRPr="00653FAD" w:rsidRDefault="00653FAD" w:rsidP="00653FAD">
            <w:pPr>
              <w:jc w:val="both"/>
              <w:rPr>
                <w:rFonts w:ascii="Times New Roman" w:hAnsi="Times New Roman"/>
                <w:bCs/>
                <w:szCs w:val="22"/>
              </w:rPr>
            </w:pPr>
            <w:r w:rsidRPr="00653FAD">
              <w:rPr>
                <w:rFonts w:ascii="Times New Roman" w:hAnsi="Times New Roman"/>
                <w:bCs/>
                <w:szCs w:val="22"/>
              </w:rPr>
              <w:t>Preso atto che le tipologie di lavoro flessibile a cui fa riferimento l’art. 9, comma 28, del D.L. n. 78/2010, sono, a titolo esemplificativo:</w:t>
            </w:r>
          </w:p>
          <w:p w14:paraId="4EA8AA0C" w14:textId="77777777" w:rsidR="00653FAD" w:rsidRPr="00653FAD" w:rsidRDefault="00653FAD" w:rsidP="00653FAD">
            <w:pPr>
              <w:numPr>
                <w:ilvl w:val="0"/>
                <w:numId w:val="3"/>
              </w:numPr>
              <w:jc w:val="both"/>
              <w:rPr>
                <w:rFonts w:ascii="Times New Roman" w:hAnsi="Times New Roman"/>
                <w:bCs/>
                <w:szCs w:val="22"/>
              </w:rPr>
            </w:pPr>
            <w:r w:rsidRPr="00653FAD">
              <w:rPr>
                <w:rFonts w:ascii="Times New Roman" w:hAnsi="Times New Roman"/>
                <w:bCs/>
                <w:szCs w:val="22"/>
              </w:rPr>
              <w:lastRenderedPageBreak/>
              <w:t>i contratti di lavoro a tempo determinato (D.Lgs. 6 settembre 2001, n. 368);</w:t>
            </w:r>
          </w:p>
          <w:p w14:paraId="37906667"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le convenzioni; </w:t>
            </w:r>
          </w:p>
          <w:p w14:paraId="39B5414E"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i contratti di lavoro autonomo nella forma della collaborazione coordinata e  continuativa (art. 7, comma 6, del D.Lgs. n. 165/2001); </w:t>
            </w:r>
          </w:p>
          <w:p w14:paraId="7997168A"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i contratti di formazione e lavoro (art. 3 del D.L. 726/1984, convertito con modificazioni nella legge 863/1984, art. 16 del D.L. 299/1994, convertito con modificazioni nella legge 451/1994, n. 451); </w:t>
            </w:r>
          </w:p>
          <w:p w14:paraId="344897BB"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altri rapporti formativi; </w:t>
            </w:r>
          </w:p>
          <w:p w14:paraId="5FF1B47A"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i contratti di somministrazione di lavoro (artt. 20 e seguenti del D.Lgs. 10 settembre 2003, n. 276); </w:t>
            </w:r>
          </w:p>
          <w:p w14:paraId="56A59A77" w14:textId="77777777" w:rsidR="00653FAD" w:rsidRPr="00653FAD" w:rsidRDefault="00653FAD" w:rsidP="00653FAD">
            <w:pPr>
              <w:numPr>
                <w:ilvl w:val="0"/>
                <w:numId w:val="3"/>
              </w:numPr>
              <w:autoSpaceDE w:val="0"/>
              <w:autoSpaceDN w:val="0"/>
              <w:adjustRightInd w:val="0"/>
              <w:jc w:val="both"/>
              <w:rPr>
                <w:rFonts w:ascii="Times New Roman" w:hAnsi="Times New Roman"/>
                <w:bCs/>
                <w:szCs w:val="22"/>
              </w:rPr>
            </w:pPr>
            <w:r w:rsidRPr="00653FAD">
              <w:rPr>
                <w:rFonts w:ascii="Times New Roman" w:hAnsi="Times New Roman"/>
                <w:bCs/>
                <w:szCs w:val="22"/>
              </w:rPr>
              <w:t xml:space="preserve">le prestazioni di lavoro accessorio di cui all'articolo 70, comma 1, lettera d) del decreto legislativo 10 settembre 2003, n. 276, e successive modificazioni ed integrazioni. </w:t>
            </w:r>
          </w:p>
          <w:p w14:paraId="2A23A185" w14:textId="77777777" w:rsidR="00653FAD" w:rsidRPr="00653FAD" w:rsidRDefault="00653FAD" w:rsidP="00653FAD">
            <w:pPr>
              <w:jc w:val="both"/>
              <w:rPr>
                <w:rFonts w:ascii="Times New Roman" w:hAnsi="Times New Roman"/>
                <w:bCs/>
                <w:szCs w:val="22"/>
              </w:rPr>
            </w:pPr>
          </w:p>
          <w:p w14:paraId="33F84070" w14:textId="77777777" w:rsidR="00653FAD" w:rsidRPr="00653FAD" w:rsidRDefault="00653FAD" w:rsidP="00653FAD">
            <w:pPr>
              <w:jc w:val="both"/>
              <w:rPr>
                <w:rFonts w:ascii="Times New Roman" w:hAnsi="Times New Roman"/>
                <w:bCs/>
                <w:szCs w:val="22"/>
              </w:rPr>
            </w:pPr>
            <w:r w:rsidRPr="00653FAD">
              <w:rPr>
                <w:rFonts w:ascii="Times New Roman" w:hAnsi="Times New Roman"/>
                <w:bCs/>
                <w:szCs w:val="22"/>
              </w:rPr>
              <w:t>Preso atto inoltre che non rientrano nella locuzione di lavoro flessibile le convenzioni aventi per oggetto la gestione in forma associata di funzioni e servizi, infatti il ricorso a forme di utilizzo condiviso del personale in organico rappresenta non già un modo per eludere il regime vincolistico relativo alle assunzioni a tempo indeterminato, bensì un duttile strumento di utilizzo plurimo e contemporaneo dei dipendenti pubblici senza ulteriori costi per le amministrazioni beneficiarie. (Sezione delle Autonomie della Corte dei conti con la deliberazione n. 23/SEZAUT/2016);</w:t>
            </w:r>
          </w:p>
          <w:p w14:paraId="55CCC95A" w14:textId="77777777" w:rsidR="00653FAD" w:rsidRPr="00653FAD" w:rsidRDefault="00653FAD" w:rsidP="00653FAD">
            <w:pPr>
              <w:jc w:val="both"/>
              <w:rPr>
                <w:rFonts w:ascii="Times New Roman" w:hAnsi="Times New Roman"/>
                <w:bCs/>
                <w:szCs w:val="22"/>
              </w:rPr>
            </w:pPr>
          </w:p>
          <w:p w14:paraId="2C55522B" w14:textId="2AE1BE34" w:rsidR="00653FAD" w:rsidRPr="00653FAD" w:rsidRDefault="00653FAD" w:rsidP="00653FAD">
            <w:pPr>
              <w:jc w:val="both"/>
              <w:rPr>
                <w:rFonts w:ascii="Times New Roman" w:hAnsi="Times New Roman"/>
                <w:bCs/>
                <w:szCs w:val="22"/>
              </w:rPr>
            </w:pPr>
            <w:r w:rsidRPr="00653FAD">
              <w:rPr>
                <w:rFonts w:ascii="Times New Roman" w:hAnsi="Times New Roman"/>
                <w:bCs/>
                <w:szCs w:val="22"/>
              </w:rPr>
              <w:t xml:space="preserve">Preso atto che questo ente ha rispettato l'obbligo di riduzione delle spese di personale di cui ai commi </w:t>
            </w:r>
            <w:r w:rsidR="00545CC1">
              <w:rPr>
                <w:rFonts w:ascii="Times New Roman" w:hAnsi="Times New Roman"/>
                <w:bCs/>
                <w:szCs w:val="22"/>
              </w:rPr>
              <w:t>562</w:t>
            </w:r>
            <w:r w:rsidRPr="00653FAD">
              <w:rPr>
                <w:rFonts w:ascii="Times New Roman" w:hAnsi="Times New Roman"/>
                <w:bCs/>
                <w:szCs w:val="22"/>
              </w:rPr>
              <w:t xml:space="preserve"> dell'articolo 1 della legge 27 dicembre 2006, n. 296;</w:t>
            </w:r>
          </w:p>
          <w:p w14:paraId="603E189B" w14:textId="77777777" w:rsidR="00653FAD" w:rsidRPr="00653FAD" w:rsidRDefault="00653FAD" w:rsidP="00653FAD">
            <w:pPr>
              <w:jc w:val="both"/>
              <w:rPr>
                <w:rFonts w:ascii="Times New Roman" w:hAnsi="Times New Roman"/>
                <w:bCs/>
                <w:szCs w:val="22"/>
              </w:rPr>
            </w:pPr>
          </w:p>
          <w:p w14:paraId="0AF964EC" w14:textId="4C379C75" w:rsidR="005D174F" w:rsidRPr="00907AFA" w:rsidRDefault="00907AFA" w:rsidP="00907AFA">
            <w:pPr>
              <w:jc w:val="both"/>
              <w:rPr>
                <w:rFonts w:ascii="Times New Roman" w:hAnsi="Times New Roman"/>
                <w:szCs w:val="22"/>
              </w:rPr>
            </w:pPr>
            <w:r w:rsidRPr="00907AFA">
              <w:rPr>
                <w:rFonts w:ascii="Times New Roman" w:hAnsi="Times New Roman"/>
                <w:szCs w:val="22"/>
              </w:rPr>
              <w:t>Per il 2023, in base alla programmazione sono previste spese “flessibili”</w:t>
            </w:r>
            <w:r w:rsidR="007F4D84">
              <w:rPr>
                <w:rFonts w:ascii="Times New Roman" w:hAnsi="Times New Roman"/>
                <w:szCs w:val="22"/>
              </w:rPr>
              <w:t xml:space="preserve"> </w:t>
            </w:r>
            <w:r w:rsidR="0051204F">
              <w:rPr>
                <w:rFonts w:ascii="Times New Roman" w:hAnsi="Times New Roman"/>
                <w:szCs w:val="22"/>
              </w:rPr>
              <w:t xml:space="preserve">come più avanti specificatamente dettagliato, </w:t>
            </w:r>
            <w:r w:rsidR="007F4D84">
              <w:rPr>
                <w:rFonts w:ascii="Times New Roman" w:hAnsi="Times New Roman"/>
                <w:szCs w:val="22"/>
              </w:rPr>
              <w:t xml:space="preserve">per un importo pari ad € </w:t>
            </w:r>
            <w:r w:rsidR="00934601">
              <w:rPr>
                <w:rFonts w:ascii="Times New Roman" w:hAnsi="Times New Roman"/>
                <w:szCs w:val="22"/>
              </w:rPr>
              <w:t>0</w:t>
            </w:r>
            <w:r w:rsidR="007F4D84">
              <w:rPr>
                <w:rFonts w:ascii="Times New Roman" w:hAnsi="Times New Roman"/>
                <w:szCs w:val="22"/>
              </w:rPr>
              <w:t>,</w:t>
            </w:r>
            <w:r w:rsidRPr="00907AFA">
              <w:rPr>
                <w:rFonts w:ascii="Times New Roman" w:hAnsi="Times New Roman"/>
                <w:szCs w:val="22"/>
              </w:rPr>
              <w:t xml:space="preserve"> pertanto il limite </w:t>
            </w:r>
            <w:r w:rsidR="00CA2EFA">
              <w:rPr>
                <w:rFonts w:ascii="Times New Roman" w:hAnsi="Times New Roman"/>
                <w:szCs w:val="22"/>
              </w:rPr>
              <w:t>delle spese flessibili</w:t>
            </w:r>
            <w:r w:rsidRPr="00907AFA">
              <w:rPr>
                <w:rFonts w:ascii="Times New Roman" w:hAnsi="Times New Roman"/>
                <w:szCs w:val="22"/>
              </w:rPr>
              <w:t xml:space="preserve"> è rispettato</w:t>
            </w:r>
          </w:p>
          <w:p w14:paraId="47BB6C6E" w14:textId="77777777" w:rsidR="00907AFA" w:rsidRPr="00907AFA" w:rsidRDefault="00907AFA" w:rsidP="00907AFA">
            <w:pPr>
              <w:jc w:val="both"/>
              <w:rPr>
                <w:rFonts w:ascii="Times New Roman" w:hAnsi="Times New Roman"/>
                <w:b/>
                <w:bCs/>
                <w:szCs w:val="22"/>
              </w:rPr>
            </w:pPr>
          </w:p>
          <w:p w14:paraId="1EB7D966" w14:textId="7E0B1A35" w:rsidR="00595DF0" w:rsidRPr="00C56DF8" w:rsidRDefault="00595DF0" w:rsidP="00595DF0">
            <w:pPr>
              <w:pStyle w:val="Paragrafoelenco"/>
              <w:jc w:val="both"/>
              <w:rPr>
                <w:rFonts w:ascii="Times New Roman" w:hAnsi="Times New Roman"/>
                <w:b/>
                <w:bCs/>
                <w:szCs w:val="22"/>
              </w:rPr>
            </w:pPr>
            <w:r w:rsidRPr="00C56DF8">
              <w:rPr>
                <w:rFonts w:ascii="Times New Roman" w:hAnsi="Times New Roman"/>
                <w:b/>
                <w:bCs/>
                <w:szCs w:val="22"/>
              </w:rPr>
              <w:t>a.4) verifica dell’assenza di eccedenze di personale</w:t>
            </w:r>
          </w:p>
          <w:p w14:paraId="37C77DDA" w14:textId="77777777" w:rsidR="00595DF0" w:rsidRPr="00C56DF8" w:rsidRDefault="00595DF0" w:rsidP="00E834C0">
            <w:pPr>
              <w:jc w:val="both"/>
              <w:rPr>
                <w:rFonts w:ascii="Times New Roman" w:hAnsi="Times New Roman"/>
                <w:bCs/>
                <w:szCs w:val="22"/>
              </w:rPr>
            </w:pPr>
          </w:p>
          <w:p w14:paraId="5C6DF1FA" w14:textId="53B6D15C" w:rsidR="00653FAD" w:rsidRPr="00653FAD" w:rsidRDefault="00D753CC" w:rsidP="00653FAD">
            <w:pPr>
              <w:pStyle w:val="Paragrafoelenco"/>
              <w:jc w:val="both"/>
              <w:rPr>
                <w:rFonts w:ascii="Times New Roman" w:hAnsi="Times New Roman"/>
                <w:bCs/>
                <w:szCs w:val="22"/>
              </w:rPr>
            </w:pPr>
            <w:r w:rsidRPr="00C56DF8">
              <w:rPr>
                <w:rFonts w:ascii="Times New Roman" w:hAnsi="Times New Roman"/>
                <w:bCs/>
                <w:szCs w:val="22"/>
              </w:rPr>
              <w:t>Dato atto che</w:t>
            </w:r>
            <w:r w:rsidR="00595DF0" w:rsidRPr="00C56DF8">
              <w:rPr>
                <w:rFonts w:ascii="Times New Roman" w:hAnsi="Times New Roman"/>
                <w:bCs/>
                <w:szCs w:val="22"/>
              </w:rPr>
              <w:t xml:space="preserve"> </w:t>
            </w:r>
            <w:r w:rsidR="004345BC" w:rsidRPr="00C56DF8">
              <w:rPr>
                <w:rFonts w:ascii="Times New Roman" w:hAnsi="Times New Roman"/>
                <w:bCs/>
                <w:szCs w:val="22"/>
              </w:rPr>
              <w:t xml:space="preserve">l’ente ha </w:t>
            </w:r>
            <w:r w:rsidR="00653FAD" w:rsidRPr="00653FAD">
              <w:rPr>
                <w:rFonts w:ascii="Times New Roman" w:hAnsi="Times New Roman"/>
                <w:bCs/>
                <w:szCs w:val="22"/>
              </w:rPr>
              <w:t>effettuato la ricognizione delle eventuali eccedenze di personale ai sensi dell’art.33</w:t>
            </w:r>
            <w:r w:rsidR="00653FAD">
              <w:rPr>
                <w:rFonts w:ascii="Times New Roman" w:hAnsi="Times New Roman"/>
                <w:bCs/>
                <w:szCs w:val="22"/>
              </w:rPr>
              <w:t xml:space="preserve"> comma 2</w:t>
            </w:r>
            <w:r w:rsidR="00653FAD" w:rsidRPr="00653FAD">
              <w:rPr>
                <w:rFonts w:ascii="Times New Roman" w:hAnsi="Times New Roman"/>
                <w:bCs/>
                <w:szCs w:val="22"/>
              </w:rPr>
              <w:t xml:space="preserve"> del D. Lgs. n. 165/2001, come sostituito dal comma 1, art. 16, della L. n. 183/ dando atto, con il presente provvedimento che non sono presenti eccedenze, né sovrannumerarietà, nemmeno per l’anno 2023; </w:t>
            </w:r>
          </w:p>
          <w:p w14:paraId="68586DAB" w14:textId="237436A1" w:rsidR="00653FAD" w:rsidRDefault="00653FAD" w:rsidP="00595DF0">
            <w:pPr>
              <w:pStyle w:val="Paragrafoelenco"/>
              <w:jc w:val="both"/>
              <w:rPr>
                <w:rFonts w:ascii="Times New Roman" w:hAnsi="Times New Roman"/>
                <w:bCs/>
                <w:szCs w:val="22"/>
              </w:rPr>
            </w:pPr>
          </w:p>
          <w:p w14:paraId="3C607B7B" w14:textId="77777777" w:rsidR="00653FAD" w:rsidRPr="00C56DF8" w:rsidRDefault="00653FAD" w:rsidP="00595DF0">
            <w:pPr>
              <w:pStyle w:val="Paragrafoelenco"/>
              <w:jc w:val="both"/>
              <w:rPr>
                <w:rFonts w:ascii="Times New Roman" w:hAnsi="Times New Roman"/>
                <w:bCs/>
                <w:szCs w:val="22"/>
              </w:rPr>
            </w:pPr>
          </w:p>
          <w:p w14:paraId="351C946C" w14:textId="77ACB3B5" w:rsidR="00595DF0" w:rsidRPr="00C56DF8" w:rsidRDefault="00595DF0" w:rsidP="00595DF0">
            <w:pPr>
              <w:pStyle w:val="Paragrafoelenco"/>
              <w:jc w:val="both"/>
              <w:rPr>
                <w:rFonts w:ascii="Times New Roman" w:hAnsi="Times New Roman"/>
                <w:b/>
                <w:bCs/>
                <w:szCs w:val="22"/>
              </w:rPr>
            </w:pPr>
            <w:r w:rsidRPr="00C56DF8">
              <w:rPr>
                <w:rFonts w:ascii="Times New Roman" w:hAnsi="Times New Roman"/>
                <w:b/>
                <w:bCs/>
                <w:szCs w:val="22"/>
              </w:rPr>
              <w:t xml:space="preserve">a.5) verifica del rispetto delle altre norme </w:t>
            </w:r>
            <w:r w:rsidR="00644142" w:rsidRPr="00C56DF8">
              <w:rPr>
                <w:rFonts w:ascii="Times New Roman" w:hAnsi="Times New Roman"/>
                <w:b/>
                <w:bCs/>
                <w:szCs w:val="22"/>
              </w:rPr>
              <w:t xml:space="preserve">rilevanti ai fini della </w:t>
            </w:r>
            <w:r w:rsidR="00823308" w:rsidRPr="00C56DF8">
              <w:rPr>
                <w:rFonts w:ascii="Times New Roman" w:hAnsi="Times New Roman"/>
                <w:b/>
                <w:bCs/>
                <w:szCs w:val="22"/>
              </w:rPr>
              <w:t>possibilità</w:t>
            </w:r>
            <w:r w:rsidR="00644142" w:rsidRPr="00C56DF8">
              <w:rPr>
                <w:rFonts w:ascii="Times New Roman" w:hAnsi="Times New Roman"/>
                <w:b/>
                <w:bCs/>
                <w:szCs w:val="22"/>
              </w:rPr>
              <w:t xml:space="preserve"> di assumere</w:t>
            </w:r>
          </w:p>
          <w:p w14:paraId="55FBE7C0" w14:textId="77777777" w:rsidR="00595DF0" w:rsidRPr="00C56DF8" w:rsidRDefault="00595DF0" w:rsidP="00595DF0">
            <w:pPr>
              <w:pStyle w:val="Paragrafoelenco"/>
              <w:jc w:val="both"/>
              <w:rPr>
                <w:rFonts w:ascii="Times New Roman" w:hAnsi="Times New Roman"/>
                <w:bCs/>
                <w:szCs w:val="22"/>
              </w:rPr>
            </w:pPr>
          </w:p>
          <w:p w14:paraId="595B887E" w14:textId="49310D03" w:rsidR="00644142" w:rsidRPr="00C56DF8" w:rsidRDefault="00644142" w:rsidP="00595DF0">
            <w:pPr>
              <w:pStyle w:val="Paragrafoelenco"/>
              <w:jc w:val="both"/>
              <w:rPr>
                <w:rFonts w:ascii="Times New Roman" w:hAnsi="Times New Roman"/>
                <w:bCs/>
                <w:szCs w:val="22"/>
              </w:rPr>
            </w:pPr>
            <w:r w:rsidRPr="00C56DF8">
              <w:rPr>
                <w:rFonts w:ascii="Times New Roman" w:hAnsi="Times New Roman"/>
                <w:bCs/>
                <w:szCs w:val="22"/>
              </w:rPr>
              <w:t xml:space="preserve">Atteso che: </w:t>
            </w:r>
          </w:p>
          <w:p w14:paraId="18163C95" w14:textId="65345AA3" w:rsidR="004345BC" w:rsidRPr="00C56DF8" w:rsidRDefault="0026683C" w:rsidP="00653FAD">
            <w:pPr>
              <w:pStyle w:val="Paragrafoelenco"/>
              <w:numPr>
                <w:ilvl w:val="0"/>
                <w:numId w:val="3"/>
              </w:numPr>
              <w:jc w:val="both"/>
              <w:rPr>
                <w:rFonts w:ascii="Times New Roman" w:hAnsi="Times New Roman"/>
                <w:bCs/>
                <w:szCs w:val="22"/>
              </w:rPr>
            </w:pPr>
            <w:r w:rsidRPr="00C56DF8">
              <w:rPr>
                <w:rFonts w:ascii="Times New Roman" w:hAnsi="Times New Roman"/>
                <w:bCs/>
                <w:szCs w:val="22"/>
              </w:rPr>
              <w:t>ai sensi dell’art. 9, comma 1-quinquies, del d.l. 113/2016</w:t>
            </w:r>
            <w:r w:rsidR="00D84123" w:rsidRPr="00C56DF8">
              <w:rPr>
                <w:rFonts w:ascii="Times New Roman" w:hAnsi="Times New Roman"/>
                <w:bCs/>
                <w:szCs w:val="22"/>
              </w:rPr>
              <w:t>,</w:t>
            </w:r>
            <w:r w:rsidRPr="00C56DF8">
              <w:rPr>
                <w:rFonts w:ascii="Times New Roman" w:hAnsi="Times New Roman"/>
                <w:bCs/>
                <w:szCs w:val="22"/>
              </w:rPr>
              <w:t xml:space="preserve"> convertito in legge</w:t>
            </w:r>
            <w:r w:rsidR="00D84123" w:rsidRPr="00C56DF8">
              <w:rPr>
                <w:rFonts w:ascii="Times New Roman" w:hAnsi="Times New Roman"/>
                <w:bCs/>
                <w:szCs w:val="22"/>
              </w:rPr>
              <w:t xml:space="preserve"> 160/2016,</w:t>
            </w:r>
            <w:r w:rsidRPr="00C56DF8">
              <w:rPr>
                <w:rFonts w:ascii="Times New Roman" w:hAnsi="Times New Roman"/>
                <w:bCs/>
                <w:szCs w:val="22"/>
              </w:rPr>
              <w:t xml:space="preserve"> </w:t>
            </w:r>
            <w:r w:rsidR="004345BC" w:rsidRPr="00C56DF8">
              <w:rPr>
                <w:rFonts w:ascii="Times New Roman" w:hAnsi="Times New Roman"/>
                <w:bCs/>
                <w:szCs w:val="22"/>
              </w:rPr>
              <w:t xml:space="preserve">l’ente ha rispettato i termini per l'approvazione di bilanci di previsione, rendiconti, bilancio consolidato ed ha </w:t>
            </w:r>
            <w:r w:rsidR="004345BC" w:rsidRPr="00C56DF8">
              <w:rPr>
                <w:rFonts w:ascii="Times New Roman" w:hAnsi="Times New Roman"/>
                <w:bCs/>
                <w:szCs w:val="22"/>
              </w:rPr>
              <w:lastRenderedPageBreak/>
              <w:t xml:space="preserve">inviato i relativi dati alla Banca Dati delle Amministrazioni Pubbliche entro trenta giorni dal termine previsto per l’approvazione; </w:t>
            </w:r>
          </w:p>
          <w:p w14:paraId="281ED52E" w14:textId="77777777" w:rsidR="004345BC" w:rsidRPr="00C56DF8" w:rsidRDefault="004345BC" w:rsidP="00653FAD">
            <w:pPr>
              <w:pStyle w:val="Paragrafoelenco"/>
              <w:numPr>
                <w:ilvl w:val="0"/>
                <w:numId w:val="3"/>
              </w:numPr>
              <w:jc w:val="both"/>
              <w:rPr>
                <w:rFonts w:ascii="Times New Roman" w:hAnsi="Times New Roman"/>
                <w:bCs/>
                <w:szCs w:val="22"/>
              </w:rPr>
            </w:pPr>
            <w:r w:rsidRPr="00C56DF8">
              <w:rPr>
                <w:rFonts w:ascii="Times New Roman" w:hAnsi="Times New Roman"/>
                <w:bCs/>
                <w:szCs w:val="22"/>
              </w:rPr>
              <w:t xml:space="preserve">l’ente alla data odierna ottempera all’obbligo di certificazione dei crediti di cui all’art. 27, comma 9, lett. c), del D.L. 26/4/2014, n. 66 convertito nella legge 23/6/2014, n. 89 di integrazione dell’art. 9, comma 3-bis, del D.L. 29/11/2008, n. 185, convertito in L. 28/1/2009, n. 2; </w:t>
            </w:r>
          </w:p>
          <w:p w14:paraId="41E51044" w14:textId="69FE5A9C" w:rsidR="004345BC" w:rsidRPr="00C56DF8" w:rsidRDefault="004345BC" w:rsidP="00653FAD">
            <w:pPr>
              <w:pStyle w:val="Paragrafoelenco"/>
              <w:numPr>
                <w:ilvl w:val="0"/>
                <w:numId w:val="3"/>
              </w:numPr>
              <w:jc w:val="both"/>
              <w:rPr>
                <w:rFonts w:ascii="Times New Roman" w:hAnsi="Times New Roman"/>
                <w:bCs/>
                <w:szCs w:val="22"/>
              </w:rPr>
            </w:pPr>
            <w:r w:rsidRPr="00C56DF8">
              <w:rPr>
                <w:rFonts w:ascii="Times New Roman" w:hAnsi="Times New Roman"/>
                <w:bCs/>
                <w:szCs w:val="22"/>
              </w:rPr>
              <w:t>l’ente non si trova in condizioni strutturalmente deficitarie, ai sensi dell’art. 243 del d.lgs. 18/8/2000, n. 267, pertanto non è soggetto ai controlli centrali sulle dotazioni organiche e sulle assunzioni di personale</w:t>
            </w:r>
            <w:r w:rsidR="00644142" w:rsidRPr="00C56DF8">
              <w:rPr>
                <w:rFonts w:ascii="Times New Roman" w:hAnsi="Times New Roman"/>
                <w:bCs/>
                <w:szCs w:val="22"/>
              </w:rPr>
              <w:t>;</w:t>
            </w:r>
          </w:p>
          <w:p w14:paraId="716462A2" w14:textId="77777777" w:rsidR="00653FAD" w:rsidRPr="00653FAD" w:rsidRDefault="00653FAD" w:rsidP="00653FAD">
            <w:pPr>
              <w:numPr>
                <w:ilvl w:val="0"/>
                <w:numId w:val="3"/>
              </w:numPr>
              <w:spacing w:after="200" w:line="256" w:lineRule="auto"/>
              <w:jc w:val="both"/>
              <w:rPr>
                <w:rFonts w:ascii="Times New Roman" w:hAnsi="Times New Roman"/>
                <w:bCs/>
                <w:szCs w:val="22"/>
              </w:rPr>
            </w:pPr>
            <w:r w:rsidRPr="00653FAD">
              <w:rPr>
                <w:rFonts w:ascii="Times New Roman" w:hAnsi="Times New Roman"/>
                <w:bCs/>
                <w:szCs w:val="22"/>
              </w:rPr>
              <w:t>vincoli disposti dall’art. 3, comma 5 del D.L. 90/2014, e s.m.i.;</w:t>
            </w:r>
          </w:p>
          <w:p w14:paraId="3328E600" w14:textId="77777777" w:rsidR="00653FAD" w:rsidRPr="00653FAD" w:rsidRDefault="00653FAD" w:rsidP="00653FAD">
            <w:pPr>
              <w:numPr>
                <w:ilvl w:val="0"/>
                <w:numId w:val="3"/>
              </w:numPr>
              <w:spacing w:after="200" w:line="256" w:lineRule="auto"/>
              <w:jc w:val="both"/>
              <w:rPr>
                <w:rFonts w:ascii="Times New Roman" w:hAnsi="Times New Roman"/>
                <w:bCs/>
                <w:szCs w:val="22"/>
              </w:rPr>
            </w:pPr>
            <w:r w:rsidRPr="00653FAD">
              <w:rPr>
                <w:rFonts w:ascii="Times New Roman" w:hAnsi="Times New Roman"/>
                <w:bCs/>
                <w:szCs w:val="22"/>
              </w:rPr>
              <w:t>vincoli disposti dall’art. 9, comma 28 del D.L. 78/2010 sulla spesa per personale a tempo determinato, con convenzioni o con contratti di collaborazione coordinata e continuativa;</w:t>
            </w:r>
          </w:p>
          <w:p w14:paraId="430C5F4C" w14:textId="2E03025C" w:rsidR="00653FAD" w:rsidRPr="00653FAD" w:rsidRDefault="00653FAD" w:rsidP="00653FAD">
            <w:pPr>
              <w:numPr>
                <w:ilvl w:val="0"/>
                <w:numId w:val="3"/>
              </w:numPr>
              <w:spacing w:after="200" w:line="256" w:lineRule="auto"/>
              <w:jc w:val="both"/>
              <w:rPr>
                <w:rFonts w:ascii="Times New Roman" w:hAnsi="Times New Roman"/>
                <w:bCs/>
                <w:szCs w:val="22"/>
              </w:rPr>
            </w:pPr>
            <w:r w:rsidRPr="00653FAD">
              <w:rPr>
                <w:rFonts w:ascii="Times New Roman" w:hAnsi="Times New Roman"/>
                <w:bCs/>
                <w:szCs w:val="22"/>
              </w:rPr>
              <w:t xml:space="preserve">obbligo di riduzione della spesa di personale disposto dall’art. 1 comma </w:t>
            </w:r>
            <w:r w:rsidR="00545CC1">
              <w:rPr>
                <w:rFonts w:ascii="Times New Roman" w:hAnsi="Times New Roman"/>
                <w:bCs/>
                <w:szCs w:val="22"/>
              </w:rPr>
              <w:t>562</w:t>
            </w:r>
            <w:r w:rsidRPr="00653FAD">
              <w:rPr>
                <w:rFonts w:ascii="Times New Roman" w:hAnsi="Times New Roman"/>
                <w:bCs/>
                <w:szCs w:val="22"/>
              </w:rPr>
              <w:t xml:space="preserve"> della Legge 296/2006 rispetto a valore medio del 20</w:t>
            </w:r>
            <w:r w:rsidR="00150260">
              <w:rPr>
                <w:rFonts w:ascii="Times New Roman" w:hAnsi="Times New Roman"/>
                <w:bCs/>
                <w:szCs w:val="22"/>
              </w:rPr>
              <w:t>11/2013</w:t>
            </w:r>
            <w:r w:rsidRPr="00653FAD">
              <w:rPr>
                <w:rFonts w:ascii="Times New Roman" w:hAnsi="Times New Roman"/>
                <w:bCs/>
                <w:szCs w:val="22"/>
              </w:rPr>
              <w:t>;</w:t>
            </w:r>
          </w:p>
          <w:p w14:paraId="74FE2E53" w14:textId="56ED5170" w:rsidR="00653FAD" w:rsidRPr="00653FAD" w:rsidRDefault="00653FAD" w:rsidP="00653FAD">
            <w:pPr>
              <w:numPr>
                <w:ilvl w:val="0"/>
                <w:numId w:val="3"/>
              </w:numPr>
              <w:spacing w:after="200" w:line="256" w:lineRule="auto"/>
              <w:jc w:val="both"/>
              <w:rPr>
                <w:rFonts w:ascii="Times New Roman" w:hAnsi="Times New Roman"/>
                <w:bCs/>
                <w:szCs w:val="22"/>
              </w:rPr>
            </w:pPr>
            <w:r w:rsidRPr="00653FAD">
              <w:rPr>
                <w:rFonts w:ascii="Times New Roman" w:hAnsi="Times New Roman"/>
                <w:bCs/>
                <w:szCs w:val="22"/>
                <w:highlight w:val="yellow"/>
              </w:rPr>
              <w:t>adozione del Piano della Performance</w:t>
            </w:r>
            <w:r w:rsidRPr="00653FAD">
              <w:rPr>
                <w:rFonts w:ascii="Times New Roman" w:hAnsi="Times New Roman"/>
                <w:bCs/>
                <w:szCs w:val="22"/>
              </w:rPr>
              <w:t xml:space="preserve"> 2023-2025 di cui all’art. 10, comma 5, del d.lgs. 27.10.2009, n. 150;  </w:t>
            </w:r>
          </w:p>
          <w:p w14:paraId="564427C7" w14:textId="4A169F15" w:rsidR="00653FAD" w:rsidRPr="00653FAD" w:rsidRDefault="00653FAD" w:rsidP="00653FAD">
            <w:pPr>
              <w:numPr>
                <w:ilvl w:val="0"/>
                <w:numId w:val="3"/>
              </w:numPr>
              <w:spacing w:after="200" w:line="256" w:lineRule="auto"/>
              <w:jc w:val="both"/>
              <w:rPr>
                <w:rFonts w:ascii="Times New Roman" w:hAnsi="Times New Roman"/>
                <w:bCs/>
                <w:szCs w:val="22"/>
                <w:highlight w:val="yellow"/>
              </w:rPr>
            </w:pPr>
            <w:r w:rsidRPr="00653FAD">
              <w:rPr>
                <w:rFonts w:ascii="Times New Roman" w:hAnsi="Times New Roman"/>
                <w:bCs/>
                <w:szCs w:val="22"/>
                <w:highlight w:val="yellow"/>
              </w:rPr>
              <w:t>adozione del piano azioni positive</w:t>
            </w:r>
            <w:r w:rsidR="007F4D84">
              <w:rPr>
                <w:rFonts w:ascii="Times New Roman" w:hAnsi="Times New Roman"/>
                <w:bCs/>
                <w:szCs w:val="22"/>
                <w:highlight w:val="yellow"/>
              </w:rPr>
              <w:t xml:space="preserve"> 2023-2025 con delibera n. xx del xx.xx.xxxx</w:t>
            </w:r>
          </w:p>
          <w:p w14:paraId="0FB6E06D" w14:textId="77777777" w:rsidR="00653FAD" w:rsidRPr="00653FAD" w:rsidRDefault="00653FAD" w:rsidP="00653FAD">
            <w:pPr>
              <w:numPr>
                <w:ilvl w:val="0"/>
                <w:numId w:val="3"/>
              </w:numPr>
              <w:spacing w:after="200" w:line="256" w:lineRule="auto"/>
              <w:jc w:val="both"/>
              <w:rPr>
                <w:rFonts w:ascii="Times New Roman" w:hAnsi="Times New Roman"/>
                <w:bCs/>
                <w:szCs w:val="22"/>
              </w:rPr>
            </w:pPr>
            <w:r w:rsidRPr="00653FAD">
              <w:rPr>
                <w:rFonts w:ascii="Times New Roman" w:hAnsi="Times New Roman"/>
                <w:bCs/>
                <w:szCs w:val="22"/>
              </w:rPr>
              <w:t xml:space="preserve">aver effettuato la ridefinizione degli uffici e delle dotazioni organiche, nonché la programmazione triennale del fabbisogno di personale, secondo quanto previsto dall’art. 6 del D. Lgs. n. 165/2001 (art. 6, comma 6, del D. Lgs. 165/2001); </w:t>
            </w:r>
          </w:p>
          <w:p w14:paraId="51FE62FE" w14:textId="52A8DA4B" w:rsidR="00653FAD" w:rsidRPr="00653FAD" w:rsidRDefault="00653FAD" w:rsidP="00653FAD">
            <w:pPr>
              <w:numPr>
                <w:ilvl w:val="0"/>
                <w:numId w:val="3"/>
              </w:numPr>
              <w:spacing w:after="160" w:line="256" w:lineRule="auto"/>
              <w:jc w:val="both"/>
              <w:rPr>
                <w:rFonts w:ascii="Times New Roman" w:hAnsi="Times New Roman"/>
                <w:bCs/>
                <w:szCs w:val="22"/>
              </w:rPr>
            </w:pPr>
            <w:r w:rsidRPr="00653FAD">
              <w:rPr>
                <w:rFonts w:ascii="Times New Roman" w:hAnsi="Times New Roman"/>
                <w:bCs/>
                <w:szCs w:val="22"/>
              </w:rPr>
              <w:t xml:space="preserve">che la spesa di personale prevista per gli anni 2023/2024/2025, è contenuta nel limite della spesa del </w:t>
            </w:r>
            <w:r w:rsidR="001057F8">
              <w:rPr>
                <w:rFonts w:ascii="Times New Roman" w:hAnsi="Times New Roman"/>
                <w:bCs/>
                <w:szCs w:val="22"/>
              </w:rPr>
              <w:t>2008</w:t>
            </w:r>
            <w:r w:rsidRPr="00653FAD">
              <w:rPr>
                <w:rFonts w:ascii="Times New Roman" w:hAnsi="Times New Roman"/>
                <w:bCs/>
                <w:szCs w:val="22"/>
              </w:rPr>
              <w:t xml:space="preserve"> e pertanto rispettosa della disposizione del nuovo art. 1 c. </w:t>
            </w:r>
            <w:r w:rsidR="00545CC1">
              <w:rPr>
                <w:rFonts w:ascii="Times New Roman" w:hAnsi="Times New Roman"/>
                <w:bCs/>
                <w:szCs w:val="22"/>
              </w:rPr>
              <w:t>562</w:t>
            </w:r>
            <w:r w:rsidRPr="00653FAD">
              <w:rPr>
                <w:rFonts w:ascii="Times New Roman" w:hAnsi="Times New Roman"/>
                <w:bCs/>
                <w:szCs w:val="22"/>
              </w:rPr>
              <w:t>, ovvero il contenimento delle spese di personale con riferimento al valore dell’anno 20</w:t>
            </w:r>
            <w:r w:rsidR="00150260">
              <w:rPr>
                <w:rFonts w:ascii="Times New Roman" w:hAnsi="Times New Roman"/>
                <w:bCs/>
                <w:szCs w:val="22"/>
              </w:rPr>
              <w:t>11/2013</w:t>
            </w:r>
            <w:r w:rsidRPr="00653FAD">
              <w:rPr>
                <w:rFonts w:ascii="Times New Roman" w:hAnsi="Times New Roman"/>
                <w:bCs/>
                <w:szCs w:val="22"/>
              </w:rPr>
              <w:t>;</w:t>
            </w:r>
          </w:p>
          <w:p w14:paraId="272896D9" w14:textId="77777777" w:rsidR="00653FAD" w:rsidRPr="00653FAD" w:rsidRDefault="00653FAD" w:rsidP="00653FAD">
            <w:pPr>
              <w:numPr>
                <w:ilvl w:val="0"/>
                <w:numId w:val="3"/>
              </w:numPr>
              <w:spacing w:after="160" w:line="256" w:lineRule="auto"/>
              <w:jc w:val="both"/>
              <w:rPr>
                <w:rFonts w:ascii="Times New Roman" w:hAnsi="Times New Roman"/>
                <w:bCs/>
                <w:szCs w:val="22"/>
              </w:rPr>
            </w:pPr>
            <w:r w:rsidRPr="00653FAD">
              <w:rPr>
                <w:rFonts w:ascii="Times New Roman" w:hAnsi="Times New Roman"/>
                <w:bCs/>
                <w:szCs w:val="22"/>
              </w:rPr>
              <w:t>che la spesa di personale prevista per gli anni 2023/2024/2025 derivante dal piano di fabbisogno rispetta gli equilibri di bilancio pluriennale;</w:t>
            </w:r>
          </w:p>
          <w:p w14:paraId="5B2FBDE0" w14:textId="77777777" w:rsidR="00653FAD" w:rsidRPr="00653FAD" w:rsidRDefault="00653FAD" w:rsidP="00653FAD">
            <w:pPr>
              <w:numPr>
                <w:ilvl w:val="0"/>
                <w:numId w:val="3"/>
              </w:numPr>
              <w:spacing w:before="60" w:after="60" w:line="256" w:lineRule="auto"/>
              <w:jc w:val="both"/>
              <w:rPr>
                <w:rFonts w:ascii="Times New Roman" w:hAnsi="Times New Roman"/>
                <w:bCs/>
                <w:szCs w:val="22"/>
              </w:rPr>
            </w:pPr>
            <w:r w:rsidRPr="00653FAD">
              <w:rPr>
                <w:rFonts w:ascii="Times New Roman" w:hAnsi="Times New Roman"/>
                <w:bCs/>
                <w:szCs w:val="22"/>
              </w:rPr>
              <w:t>aver effettuato l’invio del precedente Piano triennale dei fabbisogni del personale di cui all’art. 6-ter, c. 5, D.Lgs. n. 165/2001;</w:t>
            </w:r>
          </w:p>
          <w:p w14:paraId="0AE748F0" w14:textId="77777777" w:rsidR="00823308" w:rsidRPr="00C56DF8" w:rsidRDefault="00823308" w:rsidP="00644142">
            <w:pPr>
              <w:pStyle w:val="Paragrafoelenco"/>
              <w:jc w:val="both"/>
              <w:rPr>
                <w:rFonts w:ascii="Times New Roman" w:hAnsi="Times New Roman"/>
                <w:bCs/>
                <w:szCs w:val="22"/>
              </w:rPr>
            </w:pPr>
          </w:p>
          <w:p w14:paraId="00DC84BF" w14:textId="77777777" w:rsidR="00653FAD" w:rsidRDefault="00653FAD" w:rsidP="00644142">
            <w:pPr>
              <w:pStyle w:val="Paragrafoelenco"/>
              <w:jc w:val="both"/>
              <w:rPr>
                <w:rFonts w:ascii="Times New Roman" w:hAnsi="Times New Roman"/>
                <w:bCs/>
                <w:szCs w:val="22"/>
              </w:rPr>
            </w:pPr>
          </w:p>
          <w:p w14:paraId="76504E95" w14:textId="15048E83" w:rsidR="00AD109A" w:rsidRPr="00C56DF8" w:rsidRDefault="00B33C32" w:rsidP="00644142">
            <w:pPr>
              <w:pStyle w:val="Paragrafoelenco"/>
              <w:jc w:val="both"/>
              <w:rPr>
                <w:rFonts w:ascii="Times New Roman" w:hAnsi="Times New Roman"/>
                <w:szCs w:val="22"/>
              </w:rPr>
            </w:pPr>
            <w:r w:rsidRPr="00C56DF8">
              <w:rPr>
                <w:rFonts w:ascii="Times New Roman" w:hAnsi="Times New Roman"/>
                <w:bCs/>
                <w:szCs w:val="22"/>
              </w:rPr>
              <w:t xml:space="preserve">si attesta che </w:t>
            </w:r>
            <w:r w:rsidR="00DC0728" w:rsidRPr="00C56DF8">
              <w:rPr>
                <w:rFonts w:ascii="Times New Roman" w:hAnsi="Times New Roman"/>
                <w:bCs/>
                <w:szCs w:val="22"/>
              </w:rPr>
              <w:t xml:space="preserve">il Comune di </w:t>
            </w:r>
            <w:r w:rsidR="00934601">
              <w:rPr>
                <w:rFonts w:ascii="Times New Roman" w:hAnsi="Times New Roman"/>
                <w:bCs/>
                <w:szCs w:val="22"/>
              </w:rPr>
              <w:t>MANDELLO VITTA</w:t>
            </w:r>
            <w:r w:rsidR="00823308" w:rsidRPr="00C56DF8">
              <w:rPr>
                <w:rFonts w:ascii="Times New Roman" w:hAnsi="Times New Roman"/>
                <w:bCs/>
                <w:szCs w:val="22"/>
              </w:rPr>
              <w:t xml:space="preserve"> </w:t>
            </w:r>
            <w:r w:rsidR="004345BC" w:rsidRPr="00C56DF8">
              <w:rPr>
                <w:rFonts w:ascii="Times New Roman" w:hAnsi="Times New Roman"/>
                <w:bCs/>
                <w:szCs w:val="22"/>
              </w:rPr>
              <w:t>non soggiace al divieto assoluto di procedere all’assunzione di personale</w:t>
            </w:r>
            <w:r w:rsidR="00D84123" w:rsidRPr="00C56DF8">
              <w:rPr>
                <w:rFonts w:ascii="Times New Roman" w:hAnsi="Times New Roman"/>
                <w:bCs/>
                <w:szCs w:val="22"/>
              </w:rPr>
              <w:t>.</w:t>
            </w:r>
          </w:p>
          <w:p w14:paraId="15CB1379" w14:textId="77777777" w:rsidR="00AD109A" w:rsidRPr="00C56DF8" w:rsidRDefault="00AD109A" w:rsidP="00E834C0">
            <w:pPr>
              <w:ind w:left="360"/>
              <w:jc w:val="both"/>
              <w:rPr>
                <w:rFonts w:ascii="Times New Roman" w:hAnsi="Times New Roman"/>
                <w:szCs w:val="22"/>
              </w:rPr>
            </w:pPr>
          </w:p>
          <w:p w14:paraId="7F3D360D" w14:textId="2D3EE002" w:rsidR="000030E2" w:rsidRPr="00C56DF8" w:rsidRDefault="000030E2" w:rsidP="00653FAD">
            <w:pPr>
              <w:pStyle w:val="Paragrafoelenco"/>
              <w:numPr>
                <w:ilvl w:val="0"/>
                <w:numId w:val="3"/>
              </w:numPr>
              <w:jc w:val="both"/>
              <w:rPr>
                <w:rFonts w:ascii="Times New Roman" w:hAnsi="Times New Roman"/>
                <w:b/>
                <w:bCs/>
                <w:sz w:val="24"/>
                <w:szCs w:val="24"/>
              </w:rPr>
            </w:pPr>
            <w:r w:rsidRPr="00C56DF8">
              <w:rPr>
                <w:rFonts w:ascii="Times New Roman" w:hAnsi="Times New Roman"/>
                <w:b/>
                <w:bCs/>
                <w:sz w:val="24"/>
                <w:szCs w:val="24"/>
              </w:rPr>
              <w:t>stima del trend delle cessazioni:</w:t>
            </w:r>
          </w:p>
          <w:p w14:paraId="4F4EC26F" w14:textId="77777777" w:rsidR="00AD125B" w:rsidRPr="00C56DF8" w:rsidRDefault="00AD125B" w:rsidP="00E834C0">
            <w:pPr>
              <w:pStyle w:val="Paragrafoelenco"/>
              <w:jc w:val="both"/>
              <w:rPr>
                <w:rFonts w:ascii="Times New Roman" w:hAnsi="Times New Roman"/>
                <w:b/>
                <w:bCs/>
                <w:szCs w:val="22"/>
              </w:rPr>
            </w:pPr>
          </w:p>
          <w:p w14:paraId="7E470F28" w14:textId="5355CB5A" w:rsidR="00AD125B" w:rsidRPr="00C56DF8" w:rsidRDefault="001B7075" w:rsidP="00E834C0">
            <w:pPr>
              <w:pStyle w:val="Paragrafoelenco"/>
              <w:jc w:val="both"/>
              <w:rPr>
                <w:rFonts w:ascii="Times New Roman" w:hAnsi="Times New Roman"/>
                <w:szCs w:val="22"/>
              </w:rPr>
            </w:pPr>
            <w:r w:rsidRPr="00C56DF8">
              <w:rPr>
                <w:rFonts w:ascii="Times New Roman" w:hAnsi="Times New Roman"/>
                <w:szCs w:val="22"/>
              </w:rPr>
              <w:t>Considerato che, alla luce della normativa vigente e delle informazioni disponibili,</w:t>
            </w:r>
            <w:r w:rsidR="00390D60">
              <w:rPr>
                <w:rFonts w:ascii="Times New Roman" w:hAnsi="Times New Roman"/>
                <w:szCs w:val="22"/>
              </w:rPr>
              <w:t xml:space="preserve"> attualmente non</w:t>
            </w:r>
            <w:r w:rsidRPr="00C56DF8">
              <w:rPr>
                <w:rFonts w:ascii="Times New Roman" w:hAnsi="Times New Roman"/>
                <w:szCs w:val="22"/>
              </w:rPr>
              <w:t xml:space="preserve"> si prevedono cessazioni di personale nel triennio oggetto della presente programmazione</w:t>
            </w:r>
            <w:r w:rsidR="00390D60">
              <w:rPr>
                <w:rFonts w:ascii="Times New Roman" w:hAnsi="Times New Roman"/>
                <w:szCs w:val="22"/>
              </w:rPr>
              <w:t>.</w:t>
            </w:r>
          </w:p>
          <w:p w14:paraId="7D7236C0" w14:textId="77777777" w:rsidR="001B7075" w:rsidRPr="00C56DF8" w:rsidRDefault="001B7075" w:rsidP="00E834C0">
            <w:pPr>
              <w:pStyle w:val="Paragrafoelenco"/>
              <w:jc w:val="both"/>
              <w:rPr>
                <w:rFonts w:ascii="Times New Roman" w:hAnsi="Times New Roman"/>
                <w:szCs w:val="22"/>
              </w:rPr>
            </w:pPr>
          </w:p>
          <w:p w14:paraId="523B4D6F" w14:textId="77777777" w:rsidR="001B7075" w:rsidRPr="00C56DF8" w:rsidRDefault="001B7075" w:rsidP="00E834C0">
            <w:pPr>
              <w:pStyle w:val="Paragrafoelenco"/>
              <w:jc w:val="both"/>
              <w:rPr>
                <w:rFonts w:ascii="Times New Roman" w:hAnsi="Times New Roman"/>
                <w:szCs w:val="22"/>
              </w:rPr>
            </w:pPr>
          </w:p>
          <w:p w14:paraId="462C7D98" w14:textId="09FFD2C9" w:rsidR="007F4D84" w:rsidRDefault="007F4D84" w:rsidP="00E834C0">
            <w:pPr>
              <w:jc w:val="both"/>
              <w:rPr>
                <w:rFonts w:ascii="Times New Roman" w:hAnsi="Times New Roman"/>
                <w:b/>
                <w:bCs/>
                <w:szCs w:val="22"/>
              </w:rPr>
            </w:pPr>
          </w:p>
          <w:p w14:paraId="36461407" w14:textId="397B346C" w:rsidR="0051204F" w:rsidRDefault="0051204F" w:rsidP="00E834C0">
            <w:pPr>
              <w:jc w:val="both"/>
              <w:rPr>
                <w:rFonts w:ascii="Times New Roman" w:hAnsi="Times New Roman"/>
                <w:b/>
                <w:bCs/>
                <w:szCs w:val="22"/>
              </w:rPr>
            </w:pPr>
          </w:p>
          <w:p w14:paraId="4696F1F2" w14:textId="27CC9B2B" w:rsidR="0051204F" w:rsidRDefault="0051204F" w:rsidP="00E834C0">
            <w:pPr>
              <w:jc w:val="both"/>
              <w:rPr>
                <w:rFonts w:ascii="Times New Roman" w:hAnsi="Times New Roman"/>
                <w:b/>
                <w:bCs/>
                <w:szCs w:val="22"/>
              </w:rPr>
            </w:pPr>
          </w:p>
          <w:p w14:paraId="6F699AAF" w14:textId="41601227" w:rsidR="0051204F" w:rsidRDefault="0051204F" w:rsidP="00E834C0">
            <w:pPr>
              <w:jc w:val="both"/>
              <w:rPr>
                <w:rFonts w:ascii="Times New Roman" w:hAnsi="Times New Roman"/>
                <w:b/>
                <w:bCs/>
                <w:szCs w:val="22"/>
              </w:rPr>
            </w:pPr>
          </w:p>
          <w:p w14:paraId="1DA52F46" w14:textId="65134062" w:rsidR="0051204F" w:rsidRDefault="0051204F" w:rsidP="00E834C0">
            <w:pPr>
              <w:jc w:val="both"/>
              <w:rPr>
                <w:rFonts w:ascii="Times New Roman" w:hAnsi="Times New Roman"/>
                <w:b/>
                <w:bCs/>
                <w:szCs w:val="22"/>
              </w:rPr>
            </w:pPr>
          </w:p>
          <w:p w14:paraId="2E99D308" w14:textId="5E41B52B" w:rsidR="0051204F" w:rsidRDefault="0051204F" w:rsidP="00E834C0">
            <w:pPr>
              <w:jc w:val="both"/>
              <w:rPr>
                <w:rFonts w:ascii="Times New Roman" w:hAnsi="Times New Roman"/>
                <w:b/>
                <w:bCs/>
                <w:szCs w:val="22"/>
              </w:rPr>
            </w:pPr>
          </w:p>
          <w:p w14:paraId="19D0159B" w14:textId="5ED98CC2" w:rsidR="0051204F" w:rsidRDefault="0051204F" w:rsidP="00E834C0">
            <w:pPr>
              <w:jc w:val="both"/>
              <w:rPr>
                <w:rFonts w:ascii="Times New Roman" w:hAnsi="Times New Roman"/>
                <w:b/>
                <w:bCs/>
                <w:szCs w:val="22"/>
              </w:rPr>
            </w:pPr>
          </w:p>
          <w:p w14:paraId="5AF9EA2F" w14:textId="4099E2A5" w:rsidR="0051204F" w:rsidRDefault="0051204F" w:rsidP="00E834C0">
            <w:pPr>
              <w:jc w:val="both"/>
              <w:rPr>
                <w:rFonts w:ascii="Times New Roman" w:hAnsi="Times New Roman"/>
                <w:b/>
                <w:bCs/>
                <w:szCs w:val="22"/>
              </w:rPr>
            </w:pPr>
          </w:p>
          <w:p w14:paraId="6A98980D" w14:textId="7B0E08D4" w:rsidR="0051204F" w:rsidRDefault="0051204F" w:rsidP="00E834C0">
            <w:pPr>
              <w:jc w:val="both"/>
              <w:rPr>
                <w:rFonts w:ascii="Times New Roman" w:hAnsi="Times New Roman"/>
                <w:b/>
                <w:bCs/>
                <w:szCs w:val="22"/>
              </w:rPr>
            </w:pPr>
          </w:p>
          <w:p w14:paraId="6475B29C" w14:textId="125205C8" w:rsidR="0051204F" w:rsidRDefault="0051204F" w:rsidP="00E834C0">
            <w:pPr>
              <w:jc w:val="both"/>
              <w:rPr>
                <w:rFonts w:ascii="Times New Roman" w:hAnsi="Times New Roman"/>
                <w:b/>
                <w:bCs/>
                <w:szCs w:val="22"/>
              </w:rPr>
            </w:pPr>
          </w:p>
          <w:p w14:paraId="6FB48DD7" w14:textId="7CB2562E" w:rsidR="0051204F" w:rsidRDefault="0051204F" w:rsidP="00E834C0">
            <w:pPr>
              <w:jc w:val="both"/>
              <w:rPr>
                <w:rFonts w:ascii="Times New Roman" w:hAnsi="Times New Roman"/>
                <w:b/>
                <w:bCs/>
                <w:szCs w:val="22"/>
              </w:rPr>
            </w:pPr>
          </w:p>
          <w:p w14:paraId="60A12443" w14:textId="77777777" w:rsidR="0051204F" w:rsidRDefault="0051204F" w:rsidP="00E834C0">
            <w:pPr>
              <w:jc w:val="both"/>
              <w:rPr>
                <w:rFonts w:ascii="Times New Roman" w:hAnsi="Times New Roman"/>
                <w:b/>
                <w:bCs/>
                <w:szCs w:val="22"/>
              </w:rPr>
            </w:pPr>
          </w:p>
          <w:p w14:paraId="768502F4" w14:textId="77777777" w:rsidR="007F4D84" w:rsidRPr="00C56DF8" w:rsidRDefault="007F4D84" w:rsidP="00E834C0">
            <w:pPr>
              <w:jc w:val="both"/>
              <w:rPr>
                <w:rFonts w:ascii="Times New Roman" w:hAnsi="Times New Roman"/>
                <w:b/>
                <w:bCs/>
                <w:szCs w:val="22"/>
              </w:rPr>
            </w:pPr>
          </w:p>
          <w:p w14:paraId="31DE1FF5" w14:textId="16B28B4A" w:rsidR="00AD125B" w:rsidRDefault="00AD125B" w:rsidP="00653FAD">
            <w:pPr>
              <w:pStyle w:val="Paragrafoelenco"/>
              <w:numPr>
                <w:ilvl w:val="0"/>
                <w:numId w:val="3"/>
              </w:numPr>
              <w:jc w:val="both"/>
              <w:rPr>
                <w:rFonts w:ascii="Times New Roman" w:hAnsi="Times New Roman"/>
                <w:b/>
                <w:bCs/>
                <w:sz w:val="24"/>
                <w:szCs w:val="24"/>
              </w:rPr>
            </w:pPr>
            <w:r w:rsidRPr="00C56DF8">
              <w:rPr>
                <w:rFonts w:ascii="Times New Roman" w:hAnsi="Times New Roman"/>
                <w:b/>
                <w:bCs/>
                <w:sz w:val="24"/>
                <w:szCs w:val="24"/>
              </w:rPr>
              <w:t xml:space="preserve">stima dell’evoluzione dei </w:t>
            </w:r>
            <w:r w:rsidR="001B51CB" w:rsidRPr="00C56DF8">
              <w:rPr>
                <w:rFonts w:ascii="Times New Roman" w:hAnsi="Times New Roman"/>
                <w:b/>
                <w:bCs/>
                <w:sz w:val="24"/>
                <w:szCs w:val="24"/>
              </w:rPr>
              <w:t>fab</w:t>
            </w:r>
            <w:r w:rsidRPr="00C56DF8">
              <w:rPr>
                <w:rFonts w:ascii="Times New Roman" w:hAnsi="Times New Roman"/>
                <w:b/>
                <w:bCs/>
                <w:sz w:val="24"/>
                <w:szCs w:val="24"/>
              </w:rPr>
              <w:t>bisogni:</w:t>
            </w:r>
          </w:p>
          <w:p w14:paraId="5A9644A3" w14:textId="77777777" w:rsidR="00653FAD" w:rsidRPr="00653FAD" w:rsidRDefault="00653FAD" w:rsidP="00653FAD">
            <w:pPr>
              <w:jc w:val="both"/>
              <w:rPr>
                <w:rFonts w:ascii="Times New Roman" w:hAnsi="Times New Roman"/>
                <w:b/>
                <w:bCs/>
                <w:sz w:val="24"/>
                <w:szCs w:val="24"/>
              </w:rPr>
            </w:pPr>
          </w:p>
          <w:p w14:paraId="55D5F9F3" w14:textId="77777777" w:rsidR="00653FAD" w:rsidRPr="00653FAD" w:rsidRDefault="00653FAD" w:rsidP="00653FAD">
            <w:pPr>
              <w:spacing w:after="160" w:line="256" w:lineRule="auto"/>
              <w:jc w:val="center"/>
              <w:rPr>
                <w:rFonts w:ascii="Calibri" w:eastAsia="Calibri" w:hAnsi="Calibri"/>
                <w:szCs w:val="22"/>
                <w:lang w:eastAsia="en-US"/>
              </w:rPr>
            </w:pPr>
            <w:bookmarkStart w:id="2" w:name="_Hlk51337823"/>
            <w:r w:rsidRPr="00653FAD">
              <w:rPr>
                <w:rFonts w:ascii="Calibri" w:eastAsia="Calibri" w:hAnsi="Calibri"/>
                <w:b/>
                <w:szCs w:val="22"/>
                <w:lang w:eastAsia="en-US"/>
              </w:rPr>
              <w:t xml:space="preserve">PROGRAMMAZIONE DEL FABBISOGNO A </w:t>
            </w:r>
            <w:r w:rsidRPr="00653FAD">
              <w:rPr>
                <w:rFonts w:ascii="Calibri" w:eastAsia="Calibri" w:hAnsi="Calibri"/>
                <w:b/>
                <w:szCs w:val="22"/>
                <w:u w:val="single"/>
                <w:lang w:eastAsia="en-US"/>
              </w:rPr>
              <w:t>TEMPO INDETERMINATO</w:t>
            </w:r>
            <w:r w:rsidRPr="00653FAD">
              <w:rPr>
                <w:rFonts w:ascii="Calibri" w:eastAsia="Calibri" w:hAnsi="Calibri"/>
                <w:b/>
                <w:szCs w:val="22"/>
                <w:lang w:eastAsia="en-US"/>
              </w:rPr>
              <w:t>:</w:t>
            </w:r>
          </w:p>
          <w:p w14:paraId="0CE2B380" w14:textId="77777777" w:rsidR="00653FAD" w:rsidRPr="00653FAD" w:rsidRDefault="00653FAD" w:rsidP="00653FAD">
            <w:pPr>
              <w:spacing w:after="120"/>
              <w:rPr>
                <w:rFonts w:ascii="Times New Roman" w:hAnsi="Times New Roman"/>
                <w:sz w:val="20"/>
              </w:rPr>
            </w:pPr>
            <w:r w:rsidRPr="00653FAD">
              <w:rPr>
                <w:rFonts w:ascii="Times New Roman" w:hAnsi="Times New Roman"/>
                <w:sz w:val="20"/>
              </w:rPr>
              <w:t> </w:t>
            </w:r>
          </w:p>
          <w:tbl>
            <w:tblPr>
              <w:tblW w:w="9761" w:type="dxa"/>
              <w:tblInd w:w="70" w:type="dxa"/>
              <w:tblCellMar>
                <w:left w:w="70" w:type="dxa"/>
                <w:right w:w="70" w:type="dxa"/>
              </w:tblCellMar>
              <w:tblLook w:val="04A0" w:firstRow="1" w:lastRow="0" w:firstColumn="1" w:lastColumn="0" w:noHBand="0" w:noVBand="1"/>
            </w:tblPr>
            <w:tblGrid>
              <w:gridCol w:w="852"/>
              <w:gridCol w:w="3927"/>
              <w:gridCol w:w="2491"/>
              <w:gridCol w:w="2491"/>
            </w:tblGrid>
            <w:tr w:rsidR="00653FAD" w:rsidRPr="00653FAD" w14:paraId="622E9793" w14:textId="77777777" w:rsidTr="00217A9E">
              <w:tc>
                <w:tcPr>
                  <w:tcW w:w="852" w:type="dxa"/>
                  <w:tcBorders>
                    <w:top w:val="single" w:sz="4" w:space="0" w:color="000000"/>
                    <w:left w:val="single" w:sz="4" w:space="0" w:color="000000"/>
                    <w:bottom w:val="single" w:sz="4" w:space="0" w:color="000000"/>
                    <w:right w:val="nil"/>
                  </w:tcBorders>
                  <w:hideMark/>
                </w:tcPr>
                <w:p w14:paraId="700CEF44" w14:textId="77777777" w:rsidR="00653FAD" w:rsidRPr="00653FAD" w:rsidRDefault="00653FAD" w:rsidP="00653FAD">
                  <w:pPr>
                    <w:spacing w:after="120"/>
                    <w:ind w:left="-24"/>
                    <w:jc w:val="center"/>
                    <w:rPr>
                      <w:rFonts w:ascii="Times New Roman" w:hAnsi="Times New Roman"/>
                      <w:b/>
                      <w:sz w:val="20"/>
                    </w:rPr>
                  </w:pPr>
                  <w:r w:rsidRPr="00653FAD">
                    <w:rPr>
                      <w:rFonts w:ascii="Times New Roman" w:hAnsi="Times New Roman"/>
                      <w:b/>
                      <w:sz w:val="20"/>
                    </w:rPr>
                    <w:t>ANNO</w:t>
                  </w:r>
                </w:p>
              </w:tc>
              <w:tc>
                <w:tcPr>
                  <w:tcW w:w="3927" w:type="dxa"/>
                  <w:tcBorders>
                    <w:top w:val="single" w:sz="4" w:space="0" w:color="000000"/>
                    <w:left w:val="single" w:sz="4" w:space="0" w:color="000000"/>
                    <w:bottom w:val="single" w:sz="4" w:space="0" w:color="000000"/>
                    <w:right w:val="nil"/>
                  </w:tcBorders>
                  <w:hideMark/>
                </w:tcPr>
                <w:p w14:paraId="3B4405A1" w14:textId="77777777" w:rsidR="00653FAD" w:rsidRPr="00653FAD" w:rsidRDefault="00653FAD" w:rsidP="00653FAD">
                  <w:pPr>
                    <w:spacing w:after="120"/>
                    <w:ind w:left="-24"/>
                    <w:jc w:val="center"/>
                    <w:rPr>
                      <w:rFonts w:ascii="Times New Roman" w:hAnsi="Times New Roman"/>
                      <w:b/>
                      <w:sz w:val="20"/>
                    </w:rPr>
                  </w:pPr>
                  <w:r w:rsidRPr="00653FAD">
                    <w:rPr>
                      <w:rFonts w:ascii="Times New Roman" w:hAnsi="Times New Roman"/>
                      <w:b/>
                      <w:sz w:val="20"/>
                    </w:rPr>
                    <w:t>FABBISOGNO</w:t>
                  </w:r>
                </w:p>
              </w:tc>
              <w:tc>
                <w:tcPr>
                  <w:tcW w:w="2491" w:type="dxa"/>
                  <w:tcBorders>
                    <w:top w:val="single" w:sz="4" w:space="0" w:color="000000"/>
                    <w:left w:val="single" w:sz="4" w:space="0" w:color="000000"/>
                    <w:bottom w:val="single" w:sz="4" w:space="0" w:color="000000"/>
                    <w:right w:val="single" w:sz="4" w:space="0" w:color="000000"/>
                  </w:tcBorders>
                  <w:hideMark/>
                </w:tcPr>
                <w:p w14:paraId="3B98CA21" w14:textId="77777777" w:rsidR="00653FAD" w:rsidRPr="00653FAD" w:rsidRDefault="00653FAD" w:rsidP="00653FAD">
                  <w:pPr>
                    <w:spacing w:after="120"/>
                    <w:ind w:left="-24"/>
                    <w:jc w:val="center"/>
                    <w:rPr>
                      <w:rFonts w:ascii="Times New Roman" w:hAnsi="Times New Roman"/>
                      <w:b/>
                      <w:sz w:val="20"/>
                    </w:rPr>
                  </w:pPr>
                  <w:r w:rsidRPr="00653FAD">
                    <w:rPr>
                      <w:rFonts w:ascii="Times New Roman" w:hAnsi="Times New Roman"/>
                      <w:b/>
                      <w:sz w:val="20"/>
                    </w:rPr>
                    <w:t>MODALITA’ DI COPERTURA</w:t>
                  </w:r>
                </w:p>
              </w:tc>
              <w:tc>
                <w:tcPr>
                  <w:tcW w:w="2491" w:type="dxa"/>
                  <w:tcBorders>
                    <w:top w:val="single" w:sz="4" w:space="0" w:color="000000"/>
                    <w:left w:val="single" w:sz="4" w:space="0" w:color="000000"/>
                    <w:bottom w:val="single" w:sz="4" w:space="0" w:color="000000"/>
                    <w:right w:val="single" w:sz="4" w:space="0" w:color="000000"/>
                  </w:tcBorders>
                  <w:hideMark/>
                </w:tcPr>
                <w:p w14:paraId="6F8F2941" w14:textId="77777777" w:rsidR="00653FAD" w:rsidRPr="00653FAD" w:rsidRDefault="00653FAD" w:rsidP="00653FAD">
                  <w:pPr>
                    <w:spacing w:after="120"/>
                    <w:ind w:left="-24"/>
                    <w:jc w:val="center"/>
                    <w:rPr>
                      <w:rFonts w:ascii="Times New Roman" w:hAnsi="Times New Roman"/>
                      <w:b/>
                      <w:sz w:val="20"/>
                    </w:rPr>
                  </w:pPr>
                  <w:r w:rsidRPr="00653FAD">
                    <w:rPr>
                      <w:rFonts w:ascii="Times New Roman" w:hAnsi="Times New Roman"/>
                      <w:b/>
                      <w:sz w:val="20"/>
                    </w:rPr>
                    <w:t>COSTO PREVISTO</w:t>
                  </w:r>
                </w:p>
              </w:tc>
            </w:tr>
            <w:tr w:rsidR="00B67B66" w:rsidRPr="00653FAD" w14:paraId="51613F91" w14:textId="77777777" w:rsidTr="00217A9E">
              <w:tc>
                <w:tcPr>
                  <w:tcW w:w="852" w:type="dxa"/>
                  <w:tcBorders>
                    <w:top w:val="single" w:sz="4" w:space="0" w:color="000000"/>
                    <w:left w:val="single" w:sz="4" w:space="0" w:color="000000"/>
                    <w:right w:val="nil"/>
                  </w:tcBorders>
                  <w:vAlign w:val="center"/>
                </w:tcPr>
                <w:p w14:paraId="759FA096" w14:textId="07723469" w:rsidR="00B67B66" w:rsidRPr="00424A6B" w:rsidRDefault="00B67B66" w:rsidP="00653FAD">
                  <w:pPr>
                    <w:spacing w:after="120"/>
                    <w:ind w:left="-24"/>
                    <w:jc w:val="center"/>
                    <w:rPr>
                      <w:rFonts w:ascii="Times New Roman" w:hAnsi="Times New Roman"/>
                      <w:sz w:val="20"/>
                    </w:rPr>
                  </w:pPr>
                  <w:r w:rsidRPr="00424A6B">
                    <w:rPr>
                      <w:rFonts w:ascii="Times New Roman" w:hAnsi="Times New Roman"/>
                      <w:sz w:val="20"/>
                    </w:rPr>
                    <w:t>2023</w:t>
                  </w:r>
                </w:p>
              </w:tc>
              <w:tc>
                <w:tcPr>
                  <w:tcW w:w="3927" w:type="dxa"/>
                  <w:tcBorders>
                    <w:top w:val="single" w:sz="4" w:space="0" w:color="000000"/>
                    <w:left w:val="single" w:sz="4" w:space="0" w:color="000000"/>
                    <w:bottom w:val="single" w:sz="4" w:space="0" w:color="000000"/>
                    <w:right w:val="nil"/>
                  </w:tcBorders>
                </w:tcPr>
                <w:p w14:paraId="07E092D5" w14:textId="28660D3C" w:rsidR="00B67B66" w:rsidRPr="00424A6B" w:rsidRDefault="001057F8" w:rsidP="00653FAD">
                  <w:pPr>
                    <w:spacing w:after="120"/>
                    <w:ind w:left="-24"/>
                    <w:rPr>
                      <w:rFonts w:ascii="Times New Roman" w:hAnsi="Times New Roman"/>
                      <w:sz w:val="20"/>
                    </w:rPr>
                  </w:pPr>
                  <w:r>
                    <w:rPr>
                      <w:rFonts w:ascii="Times New Roman" w:hAnsi="Times New Roman"/>
                      <w:sz w:val="20"/>
                    </w:rPr>
                    <w:t>Nessuna sostituzione del personale, al momento prevedibile, fatto salvo la possibilità di sostituire eventuali cessazioni che si dovessero presentare</w:t>
                  </w:r>
                </w:p>
              </w:tc>
              <w:tc>
                <w:tcPr>
                  <w:tcW w:w="2491" w:type="dxa"/>
                  <w:tcBorders>
                    <w:top w:val="single" w:sz="4" w:space="0" w:color="000000"/>
                    <w:left w:val="single" w:sz="4" w:space="0" w:color="000000"/>
                    <w:bottom w:val="single" w:sz="4" w:space="0" w:color="000000"/>
                    <w:right w:val="single" w:sz="4" w:space="0" w:color="000000"/>
                  </w:tcBorders>
                </w:tcPr>
                <w:p w14:paraId="4D6D9E11" w14:textId="32CB5633" w:rsidR="00B67B66" w:rsidRPr="00795C3A" w:rsidRDefault="00B67B66" w:rsidP="00653FAD">
                  <w:pPr>
                    <w:snapToGrid w:val="0"/>
                    <w:spacing w:after="120"/>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0155BDDC" w14:textId="1AB02CF4" w:rsidR="00B67B66" w:rsidRPr="00B67B66" w:rsidRDefault="00B67B66" w:rsidP="00653FAD">
                  <w:pPr>
                    <w:snapToGrid w:val="0"/>
                    <w:spacing w:after="120"/>
                    <w:rPr>
                      <w:rFonts w:ascii="Times New Roman" w:hAnsi="Times New Roman"/>
                      <w:sz w:val="20"/>
                    </w:rPr>
                  </w:pPr>
                </w:p>
              </w:tc>
            </w:tr>
            <w:tr w:rsidR="00934601" w:rsidRPr="00653FAD" w14:paraId="1116A858" w14:textId="77777777" w:rsidTr="00217A9E">
              <w:tc>
                <w:tcPr>
                  <w:tcW w:w="852" w:type="dxa"/>
                  <w:tcBorders>
                    <w:top w:val="single" w:sz="4" w:space="0" w:color="000000"/>
                    <w:left w:val="single" w:sz="4" w:space="0" w:color="000000"/>
                    <w:right w:val="nil"/>
                  </w:tcBorders>
                  <w:vAlign w:val="center"/>
                </w:tcPr>
                <w:p w14:paraId="516B1B3D" w14:textId="29FACF06" w:rsidR="00934601" w:rsidRDefault="00934601" w:rsidP="00653FAD">
                  <w:pPr>
                    <w:spacing w:after="120"/>
                    <w:ind w:left="-24"/>
                    <w:jc w:val="center"/>
                    <w:rPr>
                      <w:rFonts w:ascii="Times New Roman" w:hAnsi="Times New Roman"/>
                      <w:sz w:val="20"/>
                    </w:rPr>
                  </w:pPr>
                  <w:r>
                    <w:rPr>
                      <w:rFonts w:ascii="Times New Roman" w:hAnsi="Times New Roman"/>
                      <w:sz w:val="20"/>
                    </w:rPr>
                    <w:t>2024</w:t>
                  </w:r>
                </w:p>
              </w:tc>
              <w:tc>
                <w:tcPr>
                  <w:tcW w:w="3927" w:type="dxa"/>
                  <w:tcBorders>
                    <w:top w:val="single" w:sz="4" w:space="0" w:color="000000"/>
                    <w:left w:val="single" w:sz="4" w:space="0" w:color="000000"/>
                    <w:bottom w:val="single" w:sz="4" w:space="0" w:color="000000"/>
                    <w:right w:val="nil"/>
                  </w:tcBorders>
                </w:tcPr>
                <w:p w14:paraId="1500CB6E" w14:textId="3CCDD001" w:rsidR="00934601" w:rsidRDefault="00934601" w:rsidP="00653FAD">
                  <w:pPr>
                    <w:spacing w:after="120"/>
                    <w:ind w:left="-24"/>
                    <w:rPr>
                      <w:rFonts w:ascii="Times New Roman" w:hAnsi="Times New Roman"/>
                      <w:sz w:val="20"/>
                    </w:rPr>
                  </w:pPr>
                  <w:r>
                    <w:rPr>
                      <w:rFonts w:ascii="Times New Roman" w:hAnsi="Times New Roman"/>
                      <w:sz w:val="20"/>
                    </w:rPr>
                    <w:t>N. 1 Funzionario Amministrativo-Contabile a tempo pieno e indeterminato</w:t>
                  </w:r>
                </w:p>
              </w:tc>
              <w:tc>
                <w:tcPr>
                  <w:tcW w:w="2491" w:type="dxa"/>
                  <w:tcBorders>
                    <w:top w:val="single" w:sz="4" w:space="0" w:color="000000"/>
                    <w:left w:val="single" w:sz="4" w:space="0" w:color="000000"/>
                    <w:bottom w:val="single" w:sz="4" w:space="0" w:color="000000"/>
                    <w:right w:val="single" w:sz="4" w:space="0" w:color="000000"/>
                  </w:tcBorders>
                </w:tcPr>
                <w:p w14:paraId="5A88ED63" w14:textId="54F1CFFA" w:rsidR="00934601" w:rsidRPr="00653FAD" w:rsidRDefault="00934601" w:rsidP="00653FAD">
                  <w:pPr>
                    <w:snapToGrid w:val="0"/>
                    <w:spacing w:after="120"/>
                    <w:rPr>
                      <w:rFonts w:ascii="Times New Roman" w:hAnsi="Times New Roman"/>
                      <w:sz w:val="20"/>
                    </w:rPr>
                  </w:pPr>
                  <w:r w:rsidRPr="00653FAD">
                    <w:rPr>
                      <w:rFonts w:ascii="Times New Roman" w:hAnsi="Times New Roman"/>
                      <w:sz w:val="20"/>
                    </w:rPr>
                    <w:t xml:space="preserve">Assunzione a tempo pieno con concorso anche con utilizzo graduatoria vigente presso altri Enti (Previo espletamento delle procedure di cui all’art. 34 bis del D.lgs </w:t>
                  </w:r>
                  <w:r w:rsidRPr="00653FAD">
                    <w:rPr>
                      <w:rFonts w:ascii="Times New Roman" w:hAnsi="Times New Roman"/>
                      <w:sz w:val="20"/>
                    </w:rPr>
                    <w:lastRenderedPageBreak/>
                    <w:t>165/2001 e art. 30 )</w:t>
                  </w:r>
                  <w:r>
                    <w:rPr>
                      <w:rFonts w:ascii="Times New Roman" w:hAnsi="Times New Roman"/>
                      <w:sz w:val="20"/>
                    </w:rPr>
                    <w:t xml:space="preserve"> o mobilità volontaria art. 30 d-lgs 165/2001</w:t>
                  </w:r>
                </w:p>
              </w:tc>
              <w:tc>
                <w:tcPr>
                  <w:tcW w:w="2491" w:type="dxa"/>
                  <w:tcBorders>
                    <w:top w:val="single" w:sz="4" w:space="0" w:color="000000"/>
                    <w:left w:val="single" w:sz="4" w:space="0" w:color="000000"/>
                    <w:bottom w:val="single" w:sz="4" w:space="0" w:color="000000"/>
                    <w:right w:val="single" w:sz="4" w:space="0" w:color="000000"/>
                  </w:tcBorders>
                </w:tcPr>
                <w:p w14:paraId="5207D22B" w14:textId="368F5CC5" w:rsidR="00934601" w:rsidRPr="00653FAD" w:rsidRDefault="00934601" w:rsidP="00653FAD">
                  <w:pPr>
                    <w:snapToGrid w:val="0"/>
                    <w:spacing w:after="120"/>
                    <w:rPr>
                      <w:rFonts w:ascii="Times New Roman" w:hAnsi="Times New Roman"/>
                      <w:sz w:val="20"/>
                    </w:rPr>
                  </w:pPr>
                  <w:r w:rsidRPr="00653FAD">
                    <w:rPr>
                      <w:rFonts w:ascii="Times New Roman" w:hAnsi="Times New Roman"/>
                      <w:sz w:val="20"/>
                    </w:rPr>
                    <w:lastRenderedPageBreak/>
                    <w:t xml:space="preserve">€ </w:t>
                  </w:r>
                  <w:r>
                    <w:rPr>
                      <w:rFonts w:ascii="Times New Roman" w:hAnsi="Times New Roman"/>
                      <w:sz w:val="20"/>
                    </w:rPr>
                    <w:t>35.111,49</w:t>
                  </w:r>
                  <w:r w:rsidRPr="00653FAD">
                    <w:rPr>
                      <w:rFonts w:ascii="Times New Roman" w:hAnsi="Times New Roman"/>
                      <w:sz w:val="20"/>
                    </w:rPr>
                    <w:t xml:space="preserve"> </w:t>
                  </w:r>
                  <w:r w:rsidRPr="00653FAD">
                    <w:t>(</w:t>
                  </w:r>
                  <w:r w:rsidRPr="00653FAD">
                    <w:rPr>
                      <w:rFonts w:ascii="Times New Roman" w:hAnsi="Times New Roman"/>
                      <w:sz w:val="20"/>
                    </w:rPr>
                    <w:t>con utilizzo resti assunzionali</w:t>
                  </w:r>
                  <w:r>
                    <w:rPr>
                      <w:rFonts w:ascii="Times New Roman" w:hAnsi="Times New Roman"/>
                      <w:sz w:val="20"/>
                    </w:rPr>
                    <w:t xml:space="preserve"> personale cessato</w:t>
                  </w:r>
                  <w:r w:rsidRPr="00653FAD">
                    <w:t>)</w:t>
                  </w:r>
                </w:p>
              </w:tc>
            </w:tr>
            <w:tr w:rsidR="00B67B66" w:rsidRPr="00653FAD" w14:paraId="7F52CDCB" w14:textId="77777777" w:rsidTr="00217A9E">
              <w:tc>
                <w:tcPr>
                  <w:tcW w:w="852" w:type="dxa"/>
                  <w:tcBorders>
                    <w:top w:val="single" w:sz="4" w:space="0" w:color="000000"/>
                    <w:left w:val="single" w:sz="4" w:space="0" w:color="000000"/>
                    <w:right w:val="nil"/>
                  </w:tcBorders>
                  <w:vAlign w:val="center"/>
                </w:tcPr>
                <w:p w14:paraId="15D3DF09" w14:textId="7CC6887C" w:rsidR="00B67B66" w:rsidRDefault="004C27DE" w:rsidP="00653FAD">
                  <w:pPr>
                    <w:spacing w:after="120"/>
                    <w:ind w:left="-24"/>
                    <w:jc w:val="center"/>
                    <w:rPr>
                      <w:rFonts w:ascii="Times New Roman" w:hAnsi="Times New Roman"/>
                      <w:sz w:val="20"/>
                    </w:rPr>
                  </w:pPr>
                  <w:r>
                    <w:rPr>
                      <w:rFonts w:ascii="Times New Roman" w:hAnsi="Times New Roman"/>
                      <w:sz w:val="20"/>
                    </w:rPr>
                    <w:t>2024</w:t>
                  </w:r>
                </w:p>
              </w:tc>
              <w:tc>
                <w:tcPr>
                  <w:tcW w:w="3927" w:type="dxa"/>
                  <w:tcBorders>
                    <w:top w:val="single" w:sz="4" w:space="0" w:color="000000"/>
                    <w:left w:val="single" w:sz="4" w:space="0" w:color="000000"/>
                    <w:bottom w:val="single" w:sz="4" w:space="0" w:color="000000"/>
                    <w:right w:val="nil"/>
                  </w:tcBorders>
                </w:tcPr>
                <w:p w14:paraId="7C201FC7" w14:textId="6E32B320" w:rsidR="00B67B66" w:rsidRDefault="00390D60" w:rsidP="00653FAD">
                  <w:pPr>
                    <w:spacing w:after="120"/>
                    <w:ind w:left="-24"/>
                    <w:rPr>
                      <w:rFonts w:ascii="Times New Roman" w:hAnsi="Times New Roman"/>
                      <w:sz w:val="20"/>
                    </w:rPr>
                  </w:pPr>
                  <w:r>
                    <w:rPr>
                      <w:rFonts w:ascii="Times New Roman" w:hAnsi="Times New Roman"/>
                      <w:sz w:val="20"/>
                    </w:rPr>
                    <w:t>Nessuna s</w:t>
                  </w:r>
                  <w:r w:rsidR="00CF23A6">
                    <w:rPr>
                      <w:rFonts w:ascii="Times New Roman" w:hAnsi="Times New Roman"/>
                      <w:sz w:val="20"/>
                    </w:rPr>
                    <w:t xml:space="preserve">ostituzione del personale, al momento prevedibile, </w:t>
                  </w:r>
                  <w:r>
                    <w:rPr>
                      <w:rFonts w:ascii="Times New Roman" w:hAnsi="Times New Roman"/>
                      <w:sz w:val="20"/>
                    </w:rPr>
                    <w:t xml:space="preserve">fatto salvo la possibilità di sostituire eventuali cessazioni </w:t>
                  </w:r>
                  <w:r w:rsidR="00CF23A6">
                    <w:rPr>
                      <w:rFonts w:ascii="Times New Roman" w:hAnsi="Times New Roman"/>
                      <w:sz w:val="20"/>
                    </w:rPr>
                    <w:t xml:space="preserve">che </w:t>
                  </w:r>
                  <w:r>
                    <w:rPr>
                      <w:rFonts w:ascii="Times New Roman" w:hAnsi="Times New Roman"/>
                      <w:sz w:val="20"/>
                    </w:rPr>
                    <w:t xml:space="preserve">si </w:t>
                  </w:r>
                  <w:r w:rsidR="00CF23A6">
                    <w:rPr>
                      <w:rFonts w:ascii="Times New Roman" w:hAnsi="Times New Roman"/>
                      <w:sz w:val="20"/>
                    </w:rPr>
                    <w:t>dovesse</w:t>
                  </w:r>
                  <w:r>
                    <w:rPr>
                      <w:rFonts w:ascii="Times New Roman" w:hAnsi="Times New Roman"/>
                      <w:sz w:val="20"/>
                    </w:rPr>
                    <w:t>ro presentare</w:t>
                  </w:r>
                </w:p>
              </w:tc>
              <w:tc>
                <w:tcPr>
                  <w:tcW w:w="2491" w:type="dxa"/>
                  <w:tcBorders>
                    <w:top w:val="single" w:sz="4" w:space="0" w:color="000000"/>
                    <w:left w:val="single" w:sz="4" w:space="0" w:color="000000"/>
                    <w:bottom w:val="single" w:sz="4" w:space="0" w:color="000000"/>
                    <w:right w:val="single" w:sz="4" w:space="0" w:color="000000"/>
                  </w:tcBorders>
                </w:tcPr>
                <w:p w14:paraId="77700861" w14:textId="3D79FCC9" w:rsidR="00B67B66" w:rsidRPr="00653FAD" w:rsidRDefault="00B67B66" w:rsidP="00653FAD">
                  <w:pPr>
                    <w:snapToGrid w:val="0"/>
                    <w:spacing w:after="120"/>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1FFE7171" w14:textId="32B1EA84" w:rsidR="00B67B66" w:rsidRPr="00653FAD" w:rsidRDefault="00B67B66" w:rsidP="00653FAD">
                  <w:pPr>
                    <w:snapToGrid w:val="0"/>
                    <w:spacing w:after="120"/>
                    <w:rPr>
                      <w:rFonts w:ascii="Times New Roman" w:hAnsi="Times New Roman"/>
                      <w:sz w:val="20"/>
                    </w:rPr>
                  </w:pPr>
                </w:p>
              </w:tc>
            </w:tr>
            <w:tr w:rsidR="00B67B66" w:rsidRPr="00653FAD" w14:paraId="2BD119F8" w14:textId="77777777" w:rsidTr="00217A9E">
              <w:tc>
                <w:tcPr>
                  <w:tcW w:w="852" w:type="dxa"/>
                  <w:tcBorders>
                    <w:top w:val="single" w:sz="4" w:space="0" w:color="000000"/>
                    <w:left w:val="single" w:sz="4" w:space="0" w:color="000000"/>
                    <w:right w:val="nil"/>
                  </w:tcBorders>
                  <w:vAlign w:val="center"/>
                </w:tcPr>
                <w:p w14:paraId="49E379FE" w14:textId="68B000A1" w:rsidR="00B67B66" w:rsidRDefault="004C27DE" w:rsidP="00653FAD">
                  <w:pPr>
                    <w:spacing w:after="120"/>
                    <w:ind w:left="-24"/>
                    <w:jc w:val="center"/>
                    <w:rPr>
                      <w:rFonts w:ascii="Times New Roman" w:hAnsi="Times New Roman"/>
                      <w:sz w:val="20"/>
                    </w:rPr>
                  </w:pPr>
                  <w:r>
                    <w:rPr>
                      <w:rFonts w:ascii="Times New Roman" w:hAnsi="Times New Roman"/>
                      <w:sz w:val="20"/>
                    </w:rPr>
                    <w:t>2025</w:t>
                  </w:r>
                </w:p>
              </w:tc>
              <w:tc>
                <w:tcPr>
                  <w:tcW w:w="3927" w:type="dxa"/>
                  <w:tcBorders>
                    <w:top w:val="single" w:sz="4" w:space="0" w:color="000000"/>
                    <w:left w:val="single" w:sz="4" w:space="0" w:color="000000"/>
                    <w:bottom w:val="single" w:sz="4" w:space="0" w:color="000000"/>
                    <w:right w:val="nil"/>
                  </w:tcBorders>
                </w:tcPr>
                <w:p w14:paraId="36CBF4D8" w14:textId="24176FF1" w:rsidR="00B67B66" w:rsidRDefault="00390D60" w:rsidP="00653FAD">
                  <w:pPr>
                    <w:spacing w:after="120"/>
                    <w:ind w:left="-24"/>
                    <w:rPr>
                      <w:rFonts w:ascii="Times New Roman" w:hAnsi="Times New Roman"/>
                      <w:sz w:val="20"/>
                    </w:rPr>
                  </w:pPr>
                  <w:r>
                    <w:rPr>
                      <w:rFonts w:ascii="Times New Roman" w:hAnsi="Times New Roman"/>
                      <w:sz w:val="20"/>
                    </w:rPr>
                    <w:t>Nessuna sostituzione del personale, al momento prevedibile, fatto salvo la possibilità di sostituire eventuali cessazioni che si dovessero presentare</w:t>
                  </w:r>
                </w:p>
              </w:tc>
              <w:tc>
                <w:tcPr>
                  <w:tcW w:w="2491" w:type="dxa"/>
                  <w:tcBorders>
                    <w:top w:val="single" w:sz="4" w:space="0" w:color="000000"/>
                    <w:left w:val="single" w:sz="4" w:space="0" w:color="000000"/>
                    <w:bottom w:val="single" w:sz="4" w:space="0" w:color="000000"/>
                    <w:right w:val="single" w:sz="4" w:space="0" w:color="000000"/>
                  </w:tcBorders>
                </w:tcPr>
                <w:p w14:paraId="497CC7B4" w14:textId="5CD4942C" w:rsidR="00B67B66" w:rsidRPr="00653FAD" w:rsidRDefault="00B67B66" w:rsidP="00653FAD">
                  <w:pPr>
                    <w:snapToGrid w:val="0"/>
                    <w:spacing w:after="120"/>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530617EF" w14:textId="48AE2BD6" w:rsidR="00B67B66" w:rsidRPr="00653FAD" w:rsidRDefault="00B67B66" w:rsidP="00653FAD">
                  <w:pPr>
                    <w:snapToGrid w:val="0"/>
                    <w:spacing w:after="120"/>
                    <w:rPr>
                      <w:rFonts w:ascii="Times New Roman" w:hAnsi="Times New Roman"/>
                      <w:sz w:val="20"/>
                    </w:rPr>
                  </w:pPr>
                </w:p>
              </w:tc>
            </w:tr>
            <w:bookmarkEnd w:id="2"/>
          </w:tbl>
          <w:p w14:paraId="35F9A937" w14:textId="77777777" w:rsidR="00D129B4" w:rsidRPr="00C56DF8" w:rsidRDefault="00D129B4" w:rsidP="00D129B4">
            <w:pPr>
              <w:pStyle w:val="Paragrafoelenco"/>
              <w:ind w:left="1440"/>
              <w:jc w:val="both"/>
              <w:rPr>
                <w:rFonts w:ascii="Times New Roman" w:hAnsi="Times New Roman"/>
                <w:szCs w:val="22"/>
              </w:rPr>
            </w:pPr>
          </w:p>
          <w:p w14:paraId="23B758EA" w14:textId="63C5AC60" w:rsidR="00D129B4" w:rsidRPr="00C56DF8" w:rsidRDefault="00B31229" w:rsidP="00653FAD">
            <w:pPr>
              <w:pStyle w:val="Paragrafoelenco"/>
              <w:numPr>
                <w:ilvl w:val="0"/>
                <w:numId w:val="3"/>
              </w:numPr>
              <w:jc w:val="both"/>
              <w:rPr>
                <w:rFonts w:ascii="Times New Roman" w:hAnsi="Times New Roman"/>
                <w:b/>
                <w:bCs/>
                <w:sz w:val="24"/>
                <w:szCs w:val="24"/>
              </w:rPr>
            </w:pPr>
            <w:r w:rsidRPr="00C56DF8">
              <w:rPr>
                <w:rFonts w:ascii="Times New Roman" w:hAnsi="Times New Roman"/>
                <w:b/>
                <w:bCs/>
                <w:sz w:val="24"/>
                <w:szCs w:val="24"/>
              </w:rPr>
              <w:t>certificazioni</w:t>
            </w:r>
            <w:r w:rsidR="00D129B4" w:rsidRPr="00C56DF8">
              <w:rPr>
                <w:rFonts w:ascii="Times New Roman" w:hAnsi="Times New Roman"/>
                <w:b/>
                <w:bCs/>
                <w:sz w:val="24"/>
                <w:szCs w:val="24"/>
              </w:rPr>
              <w:t xml:space="preserve"> del Revisore dei conti:</w:t>
            </w:r>
          </w:p>
          <w:p w14:paraId="5D551299" w14:textId="77777777" w:rsidR="00D129B4" w:rsidRPr="00C56DF8" w:rsidRDefault="00D129B4" w:rsidP="00D129B4">
            <w:pPr>
              <w:pStyle w:val="Paragrafoelenco"/>
              <w:ind w:left="1440"/>
              <w:jc w:val="both"/>
              <w:rPr>
                <w:rFonts w:ascii="Times New Roman" w:hAnsi="Times New Roman"/>
                <w:szCs w:val="22"/>
              </w:rPr>
            </w:pPr>
          </w:p>
          <w:p w14:paraId="1B5C3218" w14:textId="1FCBF55D" w:rsidR="009832B8" w:rsidRPr="00C56DF8" w:rsidRDefault="009832B8" w:rsidP="009832B8">
            <w:pPr>
              <w:ind w:left="708"/>
              <w:jc w:val="both"/>
              <w:rPr>
                <w:rFonts w:ascii="Times New Roman" w:hAnsi="Times New Roman"/>
                <w:i/>
                <w:szCs w:val="22"/>
              </w:rPr>
            </w:pPr>
            <w:r w:rsidRPr="00C56DF8">
              <w:rPr>
                <w:rFonts w:ascii="Times New Roman" w:hAnsi="Times New Roman"/>
                <w:szCs w:val="22"/>
              </w:rPr>
              <w:t>Dato atto che la</w:t>
            </w:r>
            <w:r w:rsidR="000B3B81" w:rsidRPr="00C56DF8">
              <w:rPr>
                <w:rFonts w:ascii="Times New Roman" w:hAnsi="Times New Roman"/>
                <w:szCs w:val="22"/>
              </w:rPr>
              <w:t xml:space="preserve"> presente Sezione di programmazione dei fabbisogni di personale</w:t>
            </w:r>
            <w:r w:rsidRPr="00C56DF8">
              <w:rPr>
                <w:rFonts w:ascii="Times New Roman" w:hAnsi="Times New Roman"/>
                <w:szCs w:val="22"/>
              </w:rPr>
              <w:t xml:space="preserve"> è </w:t>
            </w:r>
            <w:r w:rsidR="009F5B12" w:rsidRPr="00C56DF8">
              <w:rPr>
                <w:rFonts w:ascii="Times New Roman" w:hAnsi="Times New Roman"/>
                <w:szCs w:val="22"/>
              </w:rPr>
              <w:t>stata</w:t>
            </w:r>
            <w:r w:rsidRPr="00C56DF8">
              <w:rPr>
                <w:rFonts w:ascii="Times New Roman" w:hAnsi="Times New Roman"/>
                <w:szCs w:val="22"/>
              </w:rPr>
              <w:t xml:space="preserve"> sottopost</w:t>
            </w:r>
            <w:r w:rsidR="000B3B81" w:rsidRPr="00C56DF8">
              <w:rPr>
                <w:rFonts w:ascii="Times New Roman" w:hAnsi="Times New Roman"/>
                <w:szCs w:val="22"/>
              </w:rPr>
              <w:t>a</w:t>
            </w:r>
            <w:r w:rsidRPr="00C56DF8">
              <w:rPr>
                <w:rFonts w:ascii="Times New Roman" w:hAnsi="Times New Roman"/>
                <w:szCs w:val="22"/>
              </w:rPr>
              <w:t xml:space="preserve"> in anticipo al Revisore dei </w:t>
            </w:r>
            <w:r w:rsidR="0080138F" w:rsidRPr="00C56DF8">
              <w:rPr>
                <w:rFonts w:ascii="Times New Roman" w:hAnsi="Times New Roman"/>
                <w:szCs w:val="22"/>
              </w:rPr>
              <w:t>c</w:t>
            </w:r>
            <w:r w:rsidRPr="00C56DF8">
              <w:rPr>
                <w:rFonts w:ascii="Times New Roman" w:hAnsi="Times New Roman"/>
                <w:szCs w:val="22"/>
              </w:rPr>
              <w:t>onti per l’accertamento della conformità al rispetto del principio di contenimento della spesa</w:t>
            </w:r>
            <w:r w:rsidR="00EB34D6" w:rsidRPr="00C56DF8">
              <w:rPr>
                <w:rFonts w:ascii="Times New Roman" w:hAnsi="Times New Roman"/>
                <w:szCs w:val="22"/>
              </w:rPr>
              <w:t xml:space="preserve"> di personale</w:t>
            </w:r>
            <w:r w:rsidRPr="00C56DF8">
              <w:rPr>
                <w:rFonts w:ascii="Times New Roman" w:hAnsi="Times New Roman"/>
                <w:szCs w:val="22"/>
              </w:rPr>
              <w:t xml:space="preserve"> imposto dalla normativa vigente, </w:t>
            </w:r>
            <w:r w:rsidR="000B3B81" w:rsidRPr="00C56DF8">
              <w:rPr>
                <w:rFonts w:ascii="Times New Roman" w:hAnsi="Times New Roman"/>
                <w:szCs w:val="22"/>
              </w:rPr>
              <w:t xml:space="preserve">nonché per l’asseverazione </w:t>
            </w:r>
            <w:r w:rsidR="008F506F" w:rsidRPr="00C56DF8">
              <w:rPr>
                <w:rFonts w:ascii="Times New Roman" w:hAnsi="Times New Roman"/>
                <w:szCs w:val="22"/>
              </w:rPr>
              <w:t>del rispetto pluriennale degli equilibri di bilancio</w:t>
            </w:r>
            <w:r w:rsidR="00EB34D6" w:rsidRPr="00C56DF8">
              <w:rPr>
                <w:rFonts w:ascii="Times New Roman" w:hAnsi="Times New Roman"/>
                <w:szCs w:val="22"/>
              </w:rPr>
              <w:t xml:space="preserve"> ex art. 33, comma 2, del d.l. 34/2019 convertito in legge </w:t>
            </w:r>
            <w:r w:rsidR="000E0D5C" w:rsidRPr="00C56DF8">
              <w:rPr>
                <w:rFonts w:ascii="Times New Roman" w:hAnsi="Times New Roman"/>
                <w:szCs w:val="22"/>
              </w:rPr>
              <w:t>58/2019</w:t>
            </w:r>
            <w:r w:rsidR="008F506F" w:rsidRPr="00C56DF8">
              <w:rPr>
                <w:rFonts w:ascii="Times New Roman" w:hAnsi="Times New Roman"/>
                <w:szCs w:val="22"/>
              </w:rPr>
              <w:t xml:space="preserve">, </w:t>
            </w:r>
            <w:r w:rsidRPr="00C56DF8">
              <w:rPr>
                <w:rFonts w:ascii="Times New Roman" w:hAnsi="Times New Roman"/>
                <w:szCs w:val="22"/>
              </w:rPr>
              <w:t xml:space="preserve">ottenendone parere positivo con </w:t>
            </w:r>
            <w:r w:rsidRPr="00653FAD">
              <w:rPr>
                <w:rFonts w:ascii="Times New Roman" w:hAnsi="Times New Roman"/>
                <w:szCs w:val="22"/>
                <w:highlight w:val="yellow"/>
              </w:rPr>
              <w:t xml:space="preserve">Verbale n. </w:t>
            </w:r>
            <w:r w:rsidR="000E0D5C" w:rsidRPr="00653FAD">
              <w:rPr>
                <w:rFonts w:ascii="Times New Roman" w:hAnsi="Times New Roman"/>
                <w:szCs w:val="22"/>
                <w:highlight w:val="yellow"/>
              </w:rPr>
              <w:t>_______</w:t>
            </w:r>
            <w:r w:rsidRPr="00653FAD">
              <w:rPr>
                <w:rFonts w:ascii="Times New Roman" w:hAnsi="Times New Roman"/>
                <w:szCs w:val="22"/>
                <w:highlight w:val="yellow"/>
              </w:rPr>
              <w:t xml:space="preserve"> del ____</w:t>
            </w:r>
            <w:r w:rsidR="000E0D5C" w:rsidRPr="00653FAD">
              <w:rPr>
                <w:rFonts w:ascii="Times New Roman" w:hAnsi="Times New Roman"/>
                <w:szCs w:val="22"/>
                <w:highlight w:val="yellow"/>
              </w:rPr>
              <w:t>_</w:t>
            </w:r>
            <w:r w:rsidRPr="00653FAD">
              <w:rPr>
                <w:rFonts w:ascii="Times New Roman" w:hAnsi="Times New Roman"/>
                <w:szCs w:val="22"/>
                <w:highlight w:val="yellow"/>
              </w:rPr>
              <w:t>__;</w:t>
            </w:r>
          </w:p>
          <w:p w14:paraId="7151169B" w14:textId="77777777" w:rsidR="00653FAD" w:rsidRPr="00653FAD" w:rsidRDefault="007C42E6" w:rsidP="00653FAD">
            <w:pPr>
              <w:spacing w:after="160" w:line="256" w:lineRule="auto"/>
              <w:jc w:val="both"/>
              <w:rPr>
                <w:rFonts w:eastAsia="Calibri" w:cs="Arial"/>
                <w:szCs w:val="22"/>
                <w:lang w:eastAsia="en-US"/>
              </w:rPr>
            </w:pPr>
            <w:r w:rsidRPr="00C56DF8">
              <w:rPr>
                <w:rFonts w:ascii="Times New Roman" w:hAnsi="Times New Roman"/>
                <w:iCs/>
                <w:szCs w:val="22"/>
              </w:rPr>
              <w:br/>
            </w:r>
            <w:r w:rsidR="00653FAD" w:rsidRPr="00653FAD">
              <w:rPr>
                <w:rFonts w:ascii="Times New Roman" w:hAnsi="Times New Roman"/>
                <w:szCs w:val="22"/>
              </w:rPr>
              <w:t xml:space="preserve">Dato atto che in data </w:t>
            </w:r>
            <w:r w:rsidR="00653FAD" w:rsidRPr="00653FAD">
              <w:rPr>
                <w:rFonts w:ascii="Times New Roman" w:hAnsi="Times New Roman"/>
                <w:szCs w:val="22"/>
                <w:highlight w:val="yellow"/>
              </w:rPr>
              <w:t>xx/xx/xx</w:t>
            </w:r>
            <w:r w:rsidR="00653FAD" w:rsidRPr="00653FAD">
              <w:rPr>
                <w:rFonts w:ascii="Times New Roman" w:hAnsi="Times New Roman"/>
                <w:szCs w:val="22"/>
              </w:rPr>
              <w:t xml:space="preserve"> con lettera </w:t>
            </w:r>
            <w:r w:rsidR="00653FAD" w:rsidRPr="00653FAD">
              <w:rPr>
                <w:rFonts w:ascii="Times New Roman" w:hAnsi="Times New Roman"/>
                <w:szCs w:val="22"/>
                <w:highlight w:val="yellow"/>
              </w:rPr>
              <w:t>protocollo n. xx</w:t>
            </w:r>
            <w:r w:rsidR="00653FAD" w:rsidRPr="00653FAD">
              <w:rPr>
                <w:rFonts w:ascii="Times New Roman" w:hAnsi="Times New Roman"/>
                <w:szCs w:val="22"/>
              </w:rPr>
              <w:t xml:space="preserve"> è stata trasmessa informativa alle OO.SS.</w:t>
            </w:r>
          </w:p>
          <w:p w14:paraId="11372C68" w14:textId="4EDD1F7C" w:rsidR="00AD109A" w:rsidRPr="00C56DF8" w:rsidRDefault="00AD109A" w:rsidP="00E834C0">
            <w:pPr>
              <w:jc w:val="both"/>
              <w:rPr>
                <w:rFonts w:ascii="Times New Roman" w:hAnsi="Times New Roman"/>
                <w:szCs w:val="22"/>
              </w:rPr>
            </w:pPr>
          </w:p>
        </w:tc>
      </w:tr>
      <w:tr w:rsidR="000C09B7" w:rsidRPr="00C56DF8" w14:paraId="4645DA3C" w14:textId="77777777" w:rsidTr="00EF5F74">
        <w:tc>
          <w:tcPr>
            <w:tcW w:w="1793" w:type="dxa"/>
            <w:vMerge/>
          </w:tcPr>
          <w:p w14:paraId="3D84A9AE" w14:textId="77777777" w:rsidR="000C09B7" w:rsidRPr="00C56DF8" w:rsidRDefault="000C09B7" w:rsidP="00E834C0">
            <w:pPr>
              <w:jc w:val="both"/>
              <w:rPr>
                <w:rFonts w:ascii="Times New Roman" w:hAnsi="Times New Roman"/>
                <w:sz w:val="28"/>
                <w:szCs w:val="24"/>
              </w:rPr>
            </w:pPr>
          </w:p>
        </w:tc>
        <w:tc>
          <w:tcPr>
            <w:tcW w:w="3480" w:type="dxa"/>
            <w:shd w:val="clear" w:color="auto" w:fill="FFF2CC" w:themeFill="accent4" w:themeFillTint="33"/>
          </w:tcPr>
          <w:p w14:paraId="7A39D874" w14:textId="3DA15405" w:rsidR="00F25264" w:rsidRPr="00C56DF8" w:rsidRDefault="00E834C0" w:rsidP="00E834C0">
            <w:pPr>
              <w:jc w:val="both"/>
              <w:rPr>
                <w:rFonts w:ascii="Times New Roman" w:hAnsi="Times New Roman"/>
                <w:szCs w:val="22"/>
              </w:rPr>
            </w:pPr>
            <w:r w:rsidRPr="00C56DF8">
              <w:rPr>
                <w:rFonts w:ascii="Times New Roman" w:hAnsi="Times New Roman"/>
                <w:szCs w:val="22"/>
              </w:rPr>
              <w:t xml:space="preserve">3.3.3 </w:t>
            </w:r>
            <w:r w:rsidR="001F556E" w:rsidRPr="00C56DF8">
              <w:rPr>
                <w:rFonts w:ascii="Times New Roman" w:hAnsi="Times New Roman"/>
                <w:szCs w:val="22"/>
              </w:rPr>
              <w:t>Obiettivi di trasformazione dell’allocazione delle risorse</w:t>
            </w:r>
            <w:r w:rsidR="00F25264" w:rsidRPr="00C56DF8">
              <w:rPr>
                <w:rFonts w:ascii="Times New Roman" w:hAnsi="Times New Roman"/>
                <w:szCs w:val="22"/>
              </w:rPr>
              <w:t xml:space="preserve"> </w:t>
            </w:r>
            <w:r w:rsidR="009F5B12" w:rsidRPr="00C56DF8">
              <w:rPr>
                <w:rFonts w:ascii="Times New Roman" w:hAnsi="Times New Roman"/>
                <w:szCs w:val="22"/>
              </w:rPr>
              <w:t>/ Strategia</w:t>
            </w:r>
            <w:r w:rsidR="00F25264" w:rsidRPr="00C56DF8">
              <w:rPr>
                <w:rFonts w:ascii="Times New Roman" w:hAnsi="Times New Roman"/>
                <w:szCs w:val="22"/>
              </w:rPr>
              <w:t xml:space="preserve"> di copertura del fabbisogno</w:t>
            </w:r>
          </w:p>
          <w:p w14:paraId="256E4F34" w14:textId="468300FA" w:rsidR="00F9272C" w:rsidRPr="00C56DF8" w:rsidRDefault="00F9272C" w:rsidP="00E834C0">
            <w:pPr>
              <w:jc w:val="both"/>
              <w:rPr>
                <w:rFonts w:ascii="Times New Roman" w:hAnsi="Times New Roman"/>
                <w:i/>
                <w:iCs/>
                <w:szCs w:val="22"/>
              </w:rPr>
            </w:pPr>
          </w:p>
        </w:tc>
        <w:tc>
          <w:tcPr>
            <w:tcW w:w="9004" w:type="dxa"/>
          </w:tcPr>
          <w:p w14:paraId="4941BCF3" w14:textId="23C7B744" w:rsidR="00F9272C" w:rsidRPr="00C56DF8" w:rsidRDefault="00F9272C" w:rsidP="00E834C0">
            <w:pPr>
              <w:jc w:val="both"/>
              <w:rPr>
                <w:rFonts w:ascii="Times New Roman" w:hAnsi="Times New Roman"/>
                <w:b/>
                <w:bCs/>
                <w:szCs w:val="22"/>
              </w:rPr>
            </w:pPr>
            <w:r w:rsidRPr="00C56DF8">
              <w:rPr>
                <w:rFonts w:ascii="Times New Roman" w:hAnsi="Times New Roman"/>
                <w:b/>
                <w:bCs/>
                <w:szCs w:val="22"/>
              </w:rPr>
              <w:t>a) modifica della distribuzione del personale fra servizi/settori/aree</w:t>
            </w:r>
            <w:r w:rsidR="005D22A7" w:rsidRPr="00C56DF8">
              <w:rPr>
                <w:rFonts w:ascii="Times New Roman" w:hAnsi="Times New Roman"/>
                <w:b/>
                <w:bCs/>
                <w:szCs w:val="22"/>
              </w:rPr>
              <w:t>:</w:t>
            </w:r>
          </w:p>
          <w:p w14:paraId="75536020" w14:textId="7CF620C3" w:rsidR="004F1BE3" w:rsidRPr="00653FAD" w:rsidRDefault="00653FAD" w:rsidP="00E834C0">
            <w:pPr>
              <w:jc w:val="both"/>
              <w:rPr>
                <w:rFonts w:ascii="Times New Roman" w:hAnsi="Times New Roman"/>
                <w:szCs w:val="22"/>
              </w:rPr>
            </w:pPr>
            <w:r w:rsidRPr="00653FAD">
              <w:rPr>
                <w:rFonts w:ascii="Times New Roman" w:hAnsi="Times New Roman"/>
                <w:i/>
                <w:iCs/>
                <w:szCs w:val="22"/>
              </w:rPr>
              <w:t>/</w:t>
            </w:r>
          </w:p>
          <w:p w14:paraId="0FCF4B02" w14:textId="77777777" w:rsidR="00F9272C" w:rsidRPr="00C56DF8" w:rsidRDefault="00F9272C" w:rsidP="00E834C0">
            <w:pPr>
              <w:jc w:val="both"/>
              <w:rPr>
                <w:rFonts w:ascii="Times New Roman" w:hAnsi="Times New Roman"/>
                <w:b/>
                <w:bCs/>
                <w:szCs w:val="22"/>
              </w:rPr>
            </w:pPr>
          </w:p>
          <w:p w14:paraId="6724216A" w14:textId="0AAC0A82" w:rsidR="007C42E6" w:rsidRDefault="00911EE5" w:rsidP="00E834C0">
            <w:pPr>
              <w:jc w:val="both"/>
              <w:rPr>
                <w:rFonts w:ascii="Times New Roman" w:hAnsi="Times New Roman"/>
                <w:b/>
                <w:bCs/>
                <w:szCs w:val="22"/>
              </w:rPr>
            </w:pPr>
            <w:r w:rsidRPr="00C56DF8">
              <w:rPr>
                <w:rFonts w:ascii="Times New Roman" w:hAnsi="Times New Roman"/>
                <w:b/>
                <w:bCs/>
                <w:szCs w:val="22"/>
              </w:rPr>
              <w:t>b</w:t>
            </w:r>
            <w:r w:rsidR="007C42E6" w:rsidRPr="00C56DF8">
              <w:rPr>
                <w:rFonts w:ascii="Times New Roman" w:hAnsi="Times New Roman"/>
                <w:b/>
                <w:bCs/>
                <w:szCs w:val="22"/>
              </w:rPr>
              <w:t>) assunzioni mediante procedura concorsuale pubblica / utilizzo di graduatorie concorsuali vigenti</w:t>
            </w:r>
            <w:r w:rsidR="00CF23A6">
              <w:rPr>
                <w:rFonts w:ascii="Times New Roman" w:hAnsi="Times New Roman"/>
                <w:b/>
                <w:bCs/>
                <w:szCs w:val="22"/>
              </w:rPr>
              <w:t xml:space="preserve"> o mobilità volontaria</w:t>
            </w:r>
            <w:r w:rsidR="007C42E6" w:rsidRPr="00C56DF8">
              <w:rPr>
                <w:rFonts w:ascii="Times New Roman" w:hAnsi="Times New Roman"/>
                <w:b/>
                <w:bCs/>
                <w:szCs w:val="22"/>
              </w:rPr>
              <w:t>:</w:t>
            </w:r>
            <w:r w:rsidR="00A0197F">
              <w:rPr>
                <w:rFonts w:ascii="Times New Roman" w:hAnsi="Times New Roman"/>
                <w:b/>
                <w:bCs/>
                <w:szCs w:val="22"/>
              </w:rPr>
              <w:t xml:space="preserve">   </w:t>
            </w:r>
          </w:p>
          <w:p w14:paraId="4D58EA5F" w14:textId="0953DC0B" w:rsidR="007C42E6" w:rsidRDefault="007C42E6" w:rsidP="00E834C0">
            <w:pPr>
              <w:jc w:val="both"/>
              <w:rPr>
                <w:rFonts w:ascii="Times New Roman" w:hAnsi="Times New Roman"/>
                <w:b/>
                <w:bCs/>
                <w:szCs w:val="22"/>
              </w:rPr>
            </w:pPr>
          </w:p>
          <w:p w14:paraId="3323626A" w14:textId="77777777" w:rsidR="0051204F" w:rsidRPr="00653FAD" w:rsidRDefault="0051204F" w:rsidP="0051204F">
            <w:pPr>
              <w:spacing w:after="120"/>
              <w:rPr>
                <w:rFonts w:ascii="Times New Roman" w:hAnsi="Times New Roman"/>
                <w:sz w:val="20"/>
              </w:rPr>
            </w:pPr>
          </w:p>
          <w:tbl>
            <w:tblPr>
              <w:tblW w:w="9761" w:type="dxa"/>
              <w:tblInd w:w="70" w:type="dxa"/>
              <w:tblCellMar>
                <w:left w:w="70" w:type="dxa"/>
                <w:right w:w="70" w:type="dxa"/>
              </w:tblCellMar>
              <w:tblLook w:val="04A0" w:firstRow="1" w:lastRow="0" w:firstColumn="1" w:lastColumn="0" w:noHBand="0" w:noVBand="1"/>
            </w:tblPr>
            <w:tblGrid>
              <w:gridCol w:w="852"/>
              <w:gridCol w:w="3927"/>
              <w:gridCol w:w="2491"/>
              <w:gridCol w:w="2491"/>
            </w:tblGrid>
            <w:tr w:rsidR="0051204F" w:rsidRPr="00653FAD" w14:paraId="123CEE12" w14:textId="77777777" w:rsidTr="009E1982">
              <w:tc>
                <w:tcPr>
                  <w:tcW w:w="852" w:type="dxa"/>
                  <w:tcBorders>
                    <w:top w:val="single" w:sz="4" w:space="0" w:color="000000"/>
                    <w:left w:val="single" w:sz="4" w:space="0" w:color="000000"/>
                    <w:bottom w:val="single" w:sz="4" w:space="0" w:color="000000"/>
                    <w:right w:val="nil"/>
                  </w:tcBorders>
                  <w:hideMark/>
                </w:tcPr>
                <w:p w14:paraId="6F835A2A" w14:textId="77777777" w:rsidR="0051204F" w:rsidRPr="00653FAD" w:rsidRDefault="0051204F" w:rsidP="0051204F">
                  <w:pPr>
                    <w:spacing w:after="120"/>
                    <w:ind w:left="-24"/>
                    <w:jc w:val="center"/>
                    <w:rPr>
                      <w:rFonts w:ascii="Times New Roman" w:hAnsi="Times New Roman"/>
                      <w:b/>
                      <w:sz w:val="20"/>
                    </w:rPr>
                  </w:pPr>
                  <w:r w:rsidRPr="00653FAD">
                    <w:rPr>
                      <w:rFonts w:ascii="Times New Roman" w:hAnsi="Times New Roman"/>
                      <w:b/>
                      <w:sz w:val="20"/>
                    </w:rPr>
                    <w:t>ANNO</w:t>
                  </w:r>
                </w:p>
              </w:tc>
              <w:tc>
                <w:tcPr>
                  <w:tcW w:w="3927" w:type="dxa"/>
                  <w:tcBorders>
                    <w:top w:val="single" w:sz="4" w:space="0" w:color="000000"/>
                    <w:left w:val="single" w:sz="4" w:space="0" w:color="000000"/>
                    <w:bottom w:val="single" w:sz="4" w:space="0" w:color="000000"/>
                    <w:right w:val="nil"/>
                  </w:tcBorders>
                  <w:hideMark/>
                </w:tcPr>
                <w:p w14:paraId="1D26FF69" w14:textId="77777777" w:rsidR="0051204F" w:rsidRPr="00653FAD" w:rsidRDefault="0051204F" w:rsidP="0051204F">
                  <w:pPr>
                    <w:spacing w:after="120"/>
                    <w:ind w:left="-24"/>
                    <w:jc w:val="center"/>
                    <w:rPr>
                      <w:rFonts w:ascii="Times New Roman" w:hAnsi="Times New Roman"/>
                      <w:b/>
                      <w:sz w:val="20"/>
                    </w:rPr>
                  </w:pPr>
                  <w:r w:rsidRPr="00653FAD">
                    <w:rPr>
                      <w:rFonts w:ascii="Times New Roman" w:hAnsi="Times New Roman"/>
                      <w:b/>
                      <w:sz w:val="20"/>
                    </w:rPr>
                    <w:t>FABBISOGNO</w:t>
                  </w:r>
                </w:p>
              </w:tc>
              <w:tc>
                <w:tcPr>
                  <w:tcW w:w="2491" w:type="dxa"/>
                  <w:tcBorders>
                    <w:top w:val="single" w:sz="4" w:space="0" w:color="000000"/>
                    <w:left w:val="single" w:sz="4" w:space="0" w:color="000000"/>
                    <w:bottom w:val="single" w:sz="4" w:space="0" w:color="000000"/>
                    <w:right w:val="single" w:sz="4" w:space="0" w:color="000000"/>
                  </w:tcBorders>
                  <w:hideMark/>
                </w:tcPr>
                <w:p w14:paraId="7C212640" w14:textId="77777777" w:rsidR="0051204F" w:rsidRPr="00653FAD" w:rsidRDefault="0051204F" w:rsidP="0051204F">
                  <w:pPr>
                    <w:spacing w:after="120"/>
                    <w:ind w:left="-24"/>
                    <w:jc w:val="center"/>
                    <w:rPr>
                      <w:rFonts w:ascii="Times New Roman" w:hAnsi="Times New Roman"/>
                      <w:b/>
                      <w:sz w:val="20"/>
                    </w:rPr>
                  </w:pPr>
                  <w:r w:rsidRPr="00653FAD">
                    <w:rPr>
                      <w:rFonts w:ascii="Times New Roman" w:hAnsi="Times New Roman"/>
                      <w:b/>
                      <w:sz w:val="20"/>
                    </w:rPr>
                    <w:t>MODALITA’ DI COPERTURA</w:t>
                  </w:r>
                </w:p>
              </w:tc>
              <w:tc>
                <w:tcPr>
                  <w:tcW w:w="2491" w:type="dxa"/>
                  <w:tcBorders>
                    <w:top w:val="single" w:sz="4" w:space="0" w:color="000000"/>
                    <w:left w:val="single" w:sz="4" w:space="0" w:color="000000"/>
                    <w:bottom w:val="single" w:sz="4" w:space="0" w:color="000000"/>
                    <w:right w:val="single" w:sz="4" w:space="0" w:color="000000"/>
                  </w:tcBorders>
                  <w:hideMark/>
                </w:tcPr>
                <w:p w14:paraId="1EC54D8D" w14:textId="77777777" w:rsidR="0051204F" w:rsidRPr="00653FAD" w:rsidRDefault="0051204F" w:rsidP="0051204F">
                  <w:pPr>
                    <w:spacing w:after="120"/>
                    <w:ind w:left="-24"/>
                    <w:jc w:val="center"/>
                    <w:rPr>
                      <w:rFonts w:ascii="Times New Roman" w:hAnsi="Times New Roman"/>
                      <w:b/>
                      <w:sz w:val="20"/>
                    </w:rPr>
                  </w:pPr>
                  <w:r w:rsidRPr="00653FAD">
                    <w:rPr>
                      <w:rFonts w:ascii="Times New Roman" w:hAnsi="Times New Roman"/>
                      <w:b/>
                      <w:sz w:val="20"/>
                    </w:rPr>
                    <w:t>COSTO PREVISTO</w:t>
                  </w:r>
                </w:p>
              </w:tc>
            </w:tr>
            <w:tr w:rsidR="0051204F" w:rsidRPr="00653FAD" w14:paraId="0FE7D175" w14:textId="77777777" w:rsidTr="001057F8">
              <w:tc>
                <w:tcPr>
                  <w:tcW w:w="852" w:type="dxa"/>
                  <w:tcBorders>
                    <w:top w:val="single" w:sz="4" w:space="0" w:color="000000"/>
                    <w:left w:val="single" w:sz="4" w:space="0" w:color="000000"/>
                    <w:bottom w:val="single" w:sz="4" w:space="0" w:color="000000"/>
                    <w:right w:val="nil"/>
                  </w:tcBorders>
                  <w:vAlign w:val="center"/>
                </w:tcPr>
                <w:p w14:paraId="4685E5D5" w14:textId="77777777" w:rsidR="0051204F" w:rsidRPr="00424A6B" w:rsidRDefault="0051204F" w:rsidP="0051204F">
                  <w:pPr>
                    <w:spacing w:after="120"/>
                    <w:ind w:left="-24"/>
                    <w:jc w:val="center"/>
                    <w:rPr>
                      <w:rFonts w:ascii="Times New Roman" w:hAnsi="Times New Roman"/>
                      <w:sz w:val="20"/>
                    </w:rPr>
                  </w:pPr>
                  <w:r w:rsidRPr="00424A6B">
                    <w:rPr>
                      <w:rFonts w:ascii="Times New Roman" w:hAnsi="Times New Roman"/>
                      <w:sz w:val="20"/>
                    </w:rPr>
                    <w:t>2023</w:t>
                  </w:r>
                </w:p>
              </w:tc>
              <w:tc>
                <w:tcPr>
                  <w:tcW w:w="3927" w:type="dxa"/>
                  <w:tcBorders>
                    <w:top w:val="single" w:sz="4" w:space="0" w:color="000000"/>
                    <w:left w:val="single" w:sz="4" w:space="0" w:color="000000"/>
                    <w:bottom w:val="single" w:sz="4" w:space="0" w:color="000000"/>
                    <w:right w:val="nil"/>
                  </w:tcBorders>
                </w:tcPr>
                <w:p w14:paraId="19CEE630" w14:textId="20E22BC1" w:rsidR="0051204F" w:rsidRPr="00424A6B" w:rsidRDefault="001057F8" w:rsidP="0051204F">
                  <w:pPr>
                    <w:spacing w:after="120"/>
                    <w:ind w:left="-24"/>
                    <w:rPr>
                      <w:rFonts w:ascii="Times New Roman" w:hAnsi="Times New Roman"/>
                      <w:sz w:val="20"/>
                    </w:rPr>
                  </w:pPr>
                  <w:r>
                    <w:rPr>
                      <w:rFonts w:ascii="Times New Roman" w:hAnsi="Times New Roman"/>
                      <w:sz w:val="20"/>
                    </w:rPr>
                    <w:t>/</w:t>
                  </w:r>
                </w:p>
              </w:tc>
              <w:tc>
                <w:tcPr>
                  <w:tcW w:w="2491" w:type="dxa"/>
                  <w:tcBorders>
                    <w:top w:val="single" w:sz="4" w:space="0" w:color="000000"/>
                    <w:left w:val="single" w:sz="4" w:space="0" w:color="000000"/>
                    <w:bottom w:val="single" w:sz="4" w:space="0" w:color="000000"/>
                    <w:right w:val="single" w:sz="4" w:space="0" w:color="000000"/>
                  </w:tcBorders>
                </w:tcPr>
                <w:p w14:paraId="31616FB1" w14:textId="6E1682FF" w:rsidR="0051204F" w:rsidRPr="00795C3A" w:rsidRDefault="0051204F" w:rsidP="0051204F">
                  <w:pPr>
                    <w:snapToGrid w:val="0"/>
                    <w:spacing w:after="120"/>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55F0BF4D" w14:textId="77777777" w:rsidR="0051204F" w:rsidRPr="00B67B66" w:rsidRDefault="0051204F" w:rsidP="0051204F">
                  <w:pPr>
                    <w:snapToGrid w:val="0"/>
                    <w:spacing w:after="120"/>
                    <w:rPr>
                      <w:rFonts w:ascii="Times New Roman" w:hAnsi="Times New Roman"/>
                      <w:sz w:val="20"/>
                    </w:rPr>
                  </w:pPr>
                </w:p>
              </w:tc>
            </w:tr>
            <w:tr w:rsidR="001057F8" w:rsidRPr="00653FAD" w14:paraId="559068C2" w14:textId="77777777" w:rsidTr="009E1982">
              <w:tc>
                <w:tcPr>
                  <w:tcW w:w="852" w:type="dxa"/>
                  <w:tcBorders>
                    <w:top w:val="single" w:sz="4" w:space="0" w:color="000000"/>
                    <w:left w:val="single" w:sz="4" w:space="0" w:color="000000"/>
                    <w:right w:val="nil"/>
                  </w:tcBorders>
                  <w:vAlign w:val="center"/>
                </w:tcPr>
                <w:p w14:paraId="799106B4" w14:textId="76351674" w:rsidR="001057F8" w:rsidRPr="00424A6B" w:rsidRDefault="001057F8" w:rsidP="0051204F">
                  <w:pPr>
                    <w:spacing w:after="120"/>
                    <w:ind w:left="-24"/>
                    <w:jc w:val="center"/>
                    <w:rPr>
                      <w:rFonts w:ascii="Times New Roman" w:hAnsi="Times New Roman"/>
                      <w:sz w:val="20"/>
                    </w:rPr>
                  </w:pPr>
                  <w:r>
                    <w:rPr>
                      <w:rFonts w:ascii="Times New Roman" w:hAnsi="Times New Roman"/>
                      <w:sz w:val="20"/>
                    </w:rPr>
                    <w:lastRenderedPageBreak/>
                    <w:t>2024</w:t>
                  </w:r>
                </w:p>
              </w:tc>
              <w:tc>
                <w:tcPr>
                  <w:tcW w:w="3927" w:type="dxa"/>
                  <w:tcBorders>
                    <w:top w:val="single" w:sz="4" w:space="0" w:color="000000"/>
                    <w:left w:val="single" w:sz="4" w:space="0" w:color="000000"/>
                    <w:bottom w:val="single" w:sz="4" w:space="0" w:color="000000"/>
                    <w:right w:val="nil"/>
                  </w:tcBorders>
                </w:tcPr>
                <w:p w14:paraId="4BBB1D07" w14:textId="0A7CB5D5" w:rsidR="001057F8" w:rsidRDefault="00934601" w:rsidP="0051204F">
                  <w:pPr>
                    <w:spacing w:after="120"/>
                    <w:ind w:left="-24"/>
                    <w:rPr>
                      <w:rFonts w:ascii="Times New Roman" w:hAnsi="Times New Roman"/>
                      <w:sz w:val="20"/>
                    </w:rPr>
                  </w:pPr>
                  <w:r>
                    <w:rPr>
                      <w:rFonts w:ascii="Times New Roman" w:hAnsi="Times New Roman"/>
                      <w:sz w:val="20"/>
                    </w:rPr>
                    <w:t>N. 1 Funzionario Amministrativo-Contabile a tempo pieno e indeterminato</w:t>
                  </w:r>
                </w:p>
              </w:tc>
              <w:tc>
                <w:tcPr>
                  <w:tcW w:w="2491" w:type="dxa"/>
                  <w:tcBorders>
                    <w:top w:val="single" w:sz="4" w:space="0" w:color="000000"/>
                    <w:left w:val="single" w:sz="4" w:space="0" w:color="000000"/>
                    <w:bottom w:val="single" w:sz="4" w:space="0" w:color="000000"/>
                    <w:right w:val="single" w:sz="4" w:space="0" w:color="000000"/>
                  </w:tcBorders>
                </w:tcPr>
                <w:p w14:paraId="64557646" w14:textId="1877DF6D" w:rsidR="001057F8" w:rsidRPr="00795C3A" w:rsidRDefault="00934601" w:rsidP="0051204F">
                  <w:pPr>
                    <w:snapToGrid w:val="0"/>
                    <w:spacing w:after="120"/>
                    <w:rPr>
                      <w:rFonts w:ascii="Times New Roman" w:hAnsi="Times New Roman"/>
                      <w:sz w:val="20"/>
                    </w:rPr>
                  </w:pPr>
                  <w:r w:rsidRPr="00653FAD">
                    <w:rPr>
                      <w:rFonts w:ascii="Times New Roman" w:hAnsi="Times New Roman"/>
                      <w:sz w:val="20"/>
                    </w:rPr>
                    <w:t>Assunzione a tempo pieno con concorso anche con utilizzo graduatoria vigente presso altri Enti (Previo espletamento delle procedure di cui all’art. 34 bis del D.lgs 165/2001 e art. 30 )</w:t>
                  </w:r>
                  <w:r>
                    <w:rPr>
                      <w:rFonts w:ascii="Times New Roman" w:hAnsi="Times New Roman"/>
                      <w:sz w:val="20"/>
                    </w:rPr>
                    <w:t xml:space="preserve"> o mobilità volontaria art. 30 d-lgs 165/2001</w:t>
                  </w:r>
                </w:p>
              </w:tc>
              <w:tc>
                <w:tcPr>
                  <w:tcW w:w="2491" w:type="dxa"/>
                  <w:tcBorders>
                    <w:top w:val="single" w:sz="4" w:space="0" w:color="000000"/>
                    <w:left w:val="single" w:sz="4" w:space="0" w:color="000000"/>
                    <w:bottom w:val="single" w:sz="4" w:space="0" w:color="000000"/>
                    <w:right w:val="single" w:sz="4" w:space="0" w:color="000000"/>
                  </w:tcBorders>
                </w:tcPr>
                <w:p w14:paraId="3DA74860" w14:textId="1711260C" w:rsidR="001057F8" w:rsidRPr="00B67B66" w:rsidRDefault="00934601" w:rsidP="0051204F">
                  <w:pPr>
                    <w:snapToGrid w:val="0"/>
                    <w:spacing w:after="120"/>
                    <w:rPr>
                      <w:rFonts w:ascii="Times New Roman" w:hAnsi="Times New Roman"/>
                      <w:sz w:val="20"/>
                    </w:rPr>
                  </w:pPr>
                  <w:r w:rsidRPr="00653FAD">
                    <w:rPr>
                      <w:rFonts w:ascii="Times New Roman" w:hAnsi="Times New Roman"/>
                      <w:sz w:val="20"/>
                    </w:rPr>
                    <w:t xml:space="preserve">€ </w:t>
                  </w:r>
                  <w:r>
                    <w:rPr>
                      <w:rFonts w:ascii="Times New Roman" w:hAnsi="Times New Roman"/>
                      <w:sz w:val="20"/>
                    </w:rPr>
                    <w:t>35.111,49</w:t>
                  </w:r>
                  <w:r w:rsidRPr="00653FAD">
                    <w:rPr>
                      <w:rFonts w:ascii="Times New Roman" w:hAnsi="Times New Roman"/>
                      <w:sz w:val="20"/>
                    </w:rPr>
                    <w:t xml:space="preserve"> </w:t>
                  </w:r>
                  <w:r w:rsidRPr="00653FAD">
                    <w:t>(</w:t>
                  </w:r>
                  <w:r w:rsidRPr="00653FAD">
                    <w:rPr>
                      <w:rFonts w:ascii="Times New Roman" w:hAnsi="Times New Roman"/>
                      <w:sz w:val="20"/>
                    </w:rPr>
                    <w:t>con utilizzo resti assunzionali</w:t>
                  </w:r>
                  <w:r>
                    <w:rPr>
                      <w:rFonts w:ascii="Times New Roman" w:hAnsi="Times New Roman"/>
                      <w:sz w:val="20"/>
                    </w:rPr>
                    <w:t xml:space="preserve"> personale cessato</w:t>
                  </w:r>
                  <w:r w:rsidRPr="00653FAD">
                    <w:t>)</w:t>
                  </w:r>
                </w:p>
              </w:tc>
            </w:tr>
            <w:tr w:rsidR="001057F8" w:rsidRPr="00653FAD" w14:paraId="2567D21B" w14:textId="77777777" w:rsidTr="009E1982">
              <w:tc>
                <w:tcPr>
                  <w:tcW w:w="852" w:type="dxa"/>
                  <w:tcBorders>
                    <w:top w:val="single" w:sz="4" w:space="0" w:color="000000"/>
                    <w:left w:val="single" w:sz="4" w:space="0" w:color="000000"/>
                    <w:right w:val="nil"/>
                  </w:tcBorders>
                  <w:vAlign w:val="center"/>
                </w:tcPr>
                <w:p w14:paraId="6E683F24" w14:textId="4382C8E1" w:rsidR="001057F8" w:rsidRPr="00424A6B" w:rsidRDefault="001057F8" w:rsidP="0051204F">
                  <w:pPr>
                    <w:spacing w:after="120"/>
                    <w:ind w:left="-24"/>
                    <w:jc w:val="center"/>
                    <w:rPr>
                      <w:rFonts w:ascii="Times New Roman" w:hAnsi="Times New Roman"/>
                      <w:sz w:val="20"/>
                    </w:rPr>
                  </w:pPr>
                  <w:r>
                    <w:rPr>
                      <w:rFonts w:ascii="Times New Roman" w:hAnsi="Times New Roman"/>
                      <w:sz w:val="20"/>
                    </w:rPr>
                    <w:t>2025</w:t>
                  </w:r>
                </w:p>
              </w:tc>
              <w:tc>
                <w:tcPr>
                  <w:tcW w:w="3927" w:type="dxa"/>
                  <w:tcBorders>
                    <w:top w:val="single" w:sz="4" w:space="0" w:color="000000"/>
                    <w:left w:val="single" w:sz="4" w:space="0" w:color="000000"/>
                    <w:bottom w:val="single" w:sz="4" w:space="0" w:color="000000"/>
                    <w:right w:val="nil"/>
                  </w:tcBorders>
                </w:tcPr>
                <w:p w14:paraId="304B3DA4" w14:textId="07ED6032" w:rsidR="001057F8" w:rsidRDefault="00934601" w:rsidP="0051204F">
                  <w:pPr>
                    <w:spacing w:after="120"/>
                    <w:ind w:left="-24"/>
                    <w:rPr>
                      <w:rFonts w:ascii="Times New Roman" w:hAnsi="Times New Roman"/>
                      <w:sz w:val="20"/>
                    </w:rPr>
                  </w:pPr>
                  <w:r>
                    <w:rPr>
                      <w:rFonts w:ascii="Times New Roman" w:hAnsi="Times New Roman"/>
                      <w:sz w:val="20"/>
                    </w:rPr>
                    <w:t>/</w:t>
                  </w:r>
                </w:p>
              </w:tc>
              <w:tc>
                <w:tcPr>
                  <w:tcW w:w="2491" w:type="dxa"/>
                  <w:tcBorders>
                    <w:top w:val="single" w:sz="4" w:space="0" w:color="000000"/>
                    <w:left w:val="single" w:sz="4" w:space="0" w:color="000000"/>
                    <w:bottom w:val="single" w:sz="4" w:space="0" w:color="000000"/>
                    <w:right w:val="single" w:sz="4" w:space="0" w:color="000000"/>
                  </w:tcBorders>
                </w:tcPr>
                <w:p w14:paraId="51889644" w14:textId="77777777" w:rsidR="001057F8" w:rsidRPr="00795C3A" w:rsidRDefault="001057F8" w:rsidP="0051204F">
                  <w:pPr>
                    <w:snapToGrid w:val="0"/>
                    <w:spacing w:after="120"/>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7FF998CC" w14:textId="77777777" w:rsidR="001057F8" w:rsidRPr="00B67B66" w:rsidRDefault="001057F8" w:rsidP="0051204F">
                  <w:pPr>
                    <w:snapToGrid w:val="0"/>
                    <w:spacing w:after="120"/>
                    <w:rPr>
                      <w:rFonts w:ascii="Times New Roman" w:hAnsi="Times New Roman"/>
                      <w:sz w:val="20"/>
                    </w:rPr>
                  </w:pPr>
                </w:p>
              </w:tc>
            </w:tr>
          </w:tbl>
          <w:p w14:paraId="2C539F8F" w14:textId="1F1D0852" w:rsidR="00CF23A6" w:rsidRDefault="00CF23A6" w:rsidP="004C27DE">
            <w:pPr>
              <w:spacing w:after="120"/>
              <w:rPr>
                <w:rFonts w:ascii="Times New Roman" w:hAnsi="Times New Roman"/>
                <w:sz w:val="20"/>
              </w:rPr>
            </w:pPr>
          </w:p>
          <w:p w14:paraId="16048B66" w14:textId="47648E6A" w:rsidR="004C27DE" w:rsidRDefault="004C27DE" w:rsidP="00E834C0">
            <w:pPr>
              <w:jc w:val="both"/>
              <w:rPr>
                <w:rFonts w:ascii="Times New Roman" w:hAnsi="Times New Roman"/>
                <w:b/>
                <w:bCs/>
                <w:szCs w:val="22"/>
              </w:rPr>
            </w:pPr>
          </w:p>
          <w:p w14:paraId="77B8417C" w14:textId="77777777" w:rsidR="004C27DE" w:rsidRPr="00C56DF8" w:rsidRDefault="004C27DE" w:rsidP="00E834C0">
            <w:pPr>
              <w:jc w:val="both"/>
              <w:rPr>
                <w:rFonts w:ascii="Times New Roman" w:hAnsi="Times New Roman"/>
                <w:b/>
                <w:bCs/>
                <w:szCs w:val="22"/>
              </w:rPr>
            </w:pPr>
          </w:p>
          <w:p w14:paraId="3402E158" w14:textId="0082DC8E" w:rsidR="007C42E6" w:rsidRPr="00C56DF8" w:rsidRDefault="00EC0509" w:rsidP="00E834C0">
            <w:pPr>
              <w:jc w:val="both"/>
              <w:rPr>
                <w:rFonts w:ascii="Times New Roman" w:hAnsi="Times New Roman"/>
                <w:b/>
                <w:bCs/>
                <w:szCs w:val="22"/>
              </w:rPr>
            </w:pPr>
            <w:r w:rsidRPr="00C56DF8">
              <w:rPr>
                <w:rFonts w:ascii="Times New Roman" w:hAnsi="Times New Roman"/>
                <w:b/>
                <w:bCs/>
                <w:szCs w:val="22"/>
              </w:rPr>
              <w:t>c</w:t>
            </w:r>
            <w:r w:rsidR="007C42E6" w:rsidRPr="00C56DF8">
              <w:rPr>
                <w:rFonts w:ascii="Times New Roman" w:hAnsi="Times New Roman"/>
                <w:b/>
                <w:bCs/>
                <w:szCs w:val="22"/>
              </w:rPr>
              <w:t xml:space="preserve">) </w:t>
            </w:r>
            <w:r w:rsidR="00BD1A0C" w:rsidRPr="00C56DF8">
              <w:rPr>
                <w:rFonts w:ascii="Times New Roman" w:hAnsi="Times New Roman"/>
                <w:b/>
                <w:bCs/>
                <w:szCs w:val="22"/>
              </w:rPr>
              <w:t>assunzioni mediante mobilità volontaria</w:t>
            </w:r>
            <w:r w:rsidR="007C42E6" w:rsidRPr="00C56DF8">
              <w:rPr>
                <w:rFonts w:ascii="Times New Roman" w:hAnsi="Times New Roman"/>
                <w:b/>
                <w:bCs/>
                <w:szCs w:val="22"/>
              </w:rPr>
              <w:t>:</w:t>
            </w:r>
            <w:r w:rsidR="00CF23A6">
              <w:rPr>
                <w:rFonts w:ascii="Times New Roman" w:hAnsi="Times New Roman"/>
                <w:b/>
                <w:bCs/>
                <w:szCs w:val="22"/>
              </w:rPr>
              <w:t xml:space="preserve"> vedi sopra punto b)</w:t>
            </w:r>
          </w:p>
          <w:p w14:paraId="2625E712" w14:textId="2373B220" w:rsidR="007C42E6" w:rsidRDefault="007C42E6" w:rsidP="00E834C0">
            <w:pPr>
              <w:jc w:val="both"/>
              <w:rPr>
                <w:rFonts w:ascii="Times New Roman" w:hAnsi="Times New Roman"/>
                <w:b/>
                <w:bCs/>
                <w:szCs w:val="22"/>
              </w:rPr>
            </w:pPr>
          </w:p>
          <w:p w14:paraId="7C689CAE" w14:textId="77777777" w:rsidR="004C27DE" w:rsidRPr="00C56DF8" w:rsidRDefault="004C27DE" w:rsidP="00E834C0">
            <w:pPr>
              <w:jc w:val="both"/>
              <w:rPr>
                <w:rFonts w:ascii="Times New Roman" w:hAnsi="Times New Roman"/>
                <w:b/>
                <w:bCs/>
                <w:szCs w:val="22"/>
              </w:rPr>
            </w:pPr>
          </w:p>
          <w:p w14:paraId="05C20FB1" w14:textId="7DCC95B3" w:rsidR="006C7C23" w:rsidRDefault="00D7185B" w:rsidP="006C7C23">
            <w:pPr>
              <w:jc w:val="both"/>
              <w:rPr>
                <w:rFonts w:ascii="Times New Roman" w:hAnsi="Times New Roman"/>
                <w:b/>
                <w:bCs/>
                <w:szCs w:val="22"/>
              </w:rPr>
            </w:pPr>
            <w:r w:rsidRPr="00C56DF8">
              <w:rPr>
                <w:rFonts w:ascii="Times New Roman" w:hAnsi="Times New Roman"/>
                <w:b/>
                <w:bCs/>
                <w:szCs w:val="22"/>
              </w:rPr>
              <w:t>d</w:t>
            </w:r>
            <w:r w:rsidR="006C7C23" w:rsidRPr="00C56DF8">
              <w:rPr>
                <w:rFonts w:ascii="Times New Roman" w:hAnsi="Times New Roman"/>
                <w:b/>
                <w:bCs/>
                <w:szCs w:val="22"/>
              </w:rPr>
              <w:t xml:space="preserve">) </w:t>
            </w:r>
            <w:r w:rsidR="009604A9" w:rsidRPr="00C56DF8">
              <w:rPr>
                <w:rFonts w:ascii="Times New Roman" w:hAnsi="Times New Roman"/>
                <w:b/>
                <w:bCs/>
                <w:szCs w:val="22"/>
              </w:rPr>
              <w:t>progressioni verticali di carriera</w:t>
            </w:r>
            <w:r w:rsidR="006C7C23" w:rsidRPr="00C56DF8">
              <w:rPr>
                <w:rFonts w:ascii="Times New Roman" w:hAnsi="Times New Roman"/>
                <w:b/>
                <w:bCs/>
                <w:szCs w:val="22"/>
              </w:rPr>
              <w:t>:</w:t>
            </w:r>
            <w:r w:rsidR="00A0197F">
              <w:rPr>
                <w:rFonts w:ascii="Times New Roman" w:hAnsi="Times New Roman"/>
                <w:b/>
                <w:bCs/>
                <w:szCs w:val="22"/>
              </w:rPr>
              <w:t xml:space="preserve">    </w:t>
            </w:r>
            <w:r w:rsidR="00A0197F" w:rsidRPr="00A0197F">
              <w:rPr>
                <w:rFonts w:ascii="Times New Roman" w:hAnsi="Times New Roman"/>
                <w:szCs w:val="22"/>
              </w:rPr>
              <w:t>Al momento nessuna</w:t>
            </w:r>
          </w:p>
          <w:p w14:paraId="47F12B02" w14:textId="50E1510D" w:rsidR="009604A9" w:rsidRDefault="009604A9" w:rsidP="009604A9">
            <w:pPr>
              <w:jc w:val="both"/>
              <w:rPr>
                <w:rFonts w:ascii="Times New Roman" w:hAnsi="Times New Roman"/>
                <w:i/>
                <w:iCs/>
                <w:color w:val="FF0000"/>
                <w:szCs w:val="22"/>
              </w:rPr>
            </w:pPr>
          </w:p>
          <w:p w14:paraId="6EEF4001" w14:textId="77777777" w:rsidR="004C27DE" w:rsidRPr="00C56DF8" w:rsidRDefault="004C27DE" w:rsidP="009604A9">
            <w:pPr>
              <w:jc w:val="both"/>
              <w:rPr>
                <w:rFonts w:ascii="Times New Roman" w:hAnsi="Times New Roman"/>
                <w:i/>
                <w:iCs/>
                <w:color w:val="FF0000"/>
                <w:szCs w:val="22"/>
              </w:rPr>
            </w:pPr>
          </w:p>
          <w:p w14:paraId="13FBA5D9" w14:textId="77777777" w:rsidR="00E726FF" w:rsidRPr="00C56DF8" w:rsidRDefault="00E726FF" w:rsidP="00E834C0">
            <w:pPr>
              <w:jc w:val="both"/>
              <w:rPr>
                <w:rFonts w:ascii="Times New Roman" w:hAnsi="Times New Roman"/>
                <w:b/>
                <w:bCs/>
                <w:szCs w:val="22"/>
              </w:rPr>
            </w:pPr>
          </w:p>
          <w:p w14:paraId="07CBFE2D" w14:textId="58EB0934" w:rsidR="007C42E6" w:rsidRPr="00C56DF8" w:rsidRDefault="00D7185B" w:rsidP="00E834C0">
            <w:pPr>
              <w:jc w:val="both"/>
              <w:rPr>
                <w:rFonts w:ascii="Times New Roman" w:hAnsi="Times New Roman"/>
                <w:b/>
                <w:bCs/>
                <w:szCs w:val="22"/>
              </w:rPr>
            </w:pPr>
            <w:r w:rsidRPr="00C56DF8">
              <w:rPr>
                <w:rFonts w:ascii="Times New Roman" w:hAnsi="Times New Roman"/>
                <w:b/>
                <w:bCs/>
                <w:szCs w:val="22"/>
              </w:rPr>
              <w:t>e</w:t>
            </w:r>
            <w:r w:rsidR="007C42E6" w:rsidRPr="00C56DF8">
              <w:rPr>
                <w:rFonts w:ascii="Times New Roman" w:hAnsi="Times New Roman"/>
                <w:b/>
                <w:bCs/>
                <w:szCs w:val="22"/>
              </w:rPr>
              <w:t xml:space="preserve">) </w:t>
            </w:r>
            <w:r w:rsidR="00E726FF" w:rsidRPr="00C56DF8">
              <w:rPr>
                <w:rFonts w:ascii="Times New Roman" w:hAnsi="Times New Roman"/>
                <w:b/>
                <w:bCs/>
                <w:szCs w:val="22"/>
              </w:rPr>
              <w:t>assunzioni mediante forme di lavoro flessibile</w:t>
            </w:r>
            <w:r w:rsidR="007C42E6" w:rsidRPr="00C56DF8">
              <w:rPr>
                <w:rFonts w:ascii="Times New Roman" w:hAnsi="Times New Roman"/>
                <w:b/>
                <w:bCs/>
                <w:szCs w:val="22"/>
              </w:rPr>
              <w:t>:</w:t>
            </w:r>
          </w:p>
          <w:p w14:paraId="569E08FF" w14:textId="378EB884" w:rsidR="007C42E6" w:rsidRDefault="007C42E6" w:rsidP="00E834C0">
            <w:pPr>
              <w:jc w:val="both"/>
              <w:rPr>
                <w:rFonts w:ascii="Times New Roman" w:hAnsi="Times New Roman"/>
                <w:b/>
                <w:bCs/>
                <w:szCs w:val="22"/>
              </w:rPr>
            </w:pPr>
          </w:p>
          <w:p w14:paraId="19538D04" w14:textId="77777777" w:rsidR="00D01A3D" w:rsidRPr="00653FAD" w:rsidRDefault="00D01A3D" w:rsidP="00D01A3D">
            <w:pPr>
              <w:spacing w:after="160" w:line="256" w:lineRule="auto"/>
              <w:jc w:val="center"/>
              <w:rPr>
                <w:rFonts w:ascii="Calibri" w:eastAsia="Calibri" w:hAnsi="Calibri"/>
                <w:szCs w:val="22"/>
                <w:lang w:eastAsia="en-US"/>
              </w:rPr>
            </w:pPr>
            <w:r w:rsidRPr="00653FAD">
              <w:rPr>
                <w:rFonts w:ascii="Calibri" w:eastAsia="Calibri" w:hAnsi="Calibri"/>
                <w:b/>
                <w:szCs w:val="22"/>
                <w:lang w:eastAsia="en-US"/>
              </w:rPr>
              <w:t xml:space="preserve">A </w:t>
            </w:r>
            <w:r w:rsidRPr="00653FAD">
              <w:rPr>
                <w:rFonts w:ascii="Calibri" w:eastAsia="Calibri" w:hAnsi="Calibri"/>
                <w:b/>
                <w:szCs w:val="22"/>
                <w:u w:val="single"/>
                <w:lang w:eastAsia="en-US"/>
              </w:rPr>
              <w:t>TEMPO DETERMINATO o FLESSIBILE:</w:t>
            </w:r>
          </w:p>
          <w:p w14:paraId="35559391" w14:textId="77777777" w:rsidR="00D01A3D" w:rsidRPr="00653FAD" w:rsidRDefault="00D01A3D" w:rsidP="00D01A3D">
            <w:pPr>
              <w:spacing w:after="120"/>
              <w:rPr>
                <w:rFonts w:ascii="Times New Roman" w:hAnsi="Times New Roman"/>
                <w:sz w:val="20"/>
              </w:rPr>
            </w:pPr>
            <w:r w:rsidRPr="00653FAD">
              <w:rPr>
                <w:rFonts w:ascii="Times New Roman" w:hAnsi="Times New Roman"/>
                <w:sz w:val="20"/>
              </w:rPr>
              <w:t> </w:t>
            </w:r>
          </w:p>
          <w:tbl>
            <w:tblPr>
              <w:tblW w:w="9761" w:type="dxa"/>
              <w:tblInd w:w="70" w:type="dxa"/>
              <w:tblCellMar>
                <w:left w:w="70" w:type="dxa"/>
                <w:right w:w="70" w:type="dxa"/>
              </w:tblCellMar>
              <w:tblLook w:val="04A0" w:firstRow="1" w:lastRow="0" w:firstColumn="1" w:lastColumn="0" w:noHBand="0" w:noVBand="1"/>
            </w:tblPr>
            <w:tblGrid>
              <w:gridCol w:w="852"/>
              <w:gridCol w:w="3927"/>
              <w:gridCol w:w="2491"/>
              <w:gridCol w:w="2491"/>
            </w:tblGrid>
            <w:tr w:rsidR="00D01A3D" w:rsidRPr="00653FAD" w14:paraId="7A5B4B4F" w14:textId="77777777" w:rsidTr="00217A9E">
              <w:trPr>
                <w:trHeight w:val="690"/>
              </w:trPr>
              <w:tc>
                <w:tcPr>
                  <w:tcW w:w="852" w:type="dxa"/>
                  <w:tcBorders>
                    <w:top w:val="single" w:sz="4" w:space="0" w:color="000000"/>
                    <w:left w:val="single" w:sz="4" w:space="0" w:color="000000"/>
                    <w:bottom w:val="single" w:sz="4" w:space="0" w:color="000000"/>
                    <w:right w:val="nil"/>
                  </w:tcBorders>
                  <w:hideMark/>
                </w:tcPr>
                <w:p w14:paraId="2F0AF599" w14:textId="77777777" w:rsidR="00D01A3D" w:rsidRPr="00653FAD" w:rsidRDefault="00D01A3D" w:rsidP="00D01A3D">
                  <w:pPr>
                    <w:spacing w:after="120"/>
                    <w:ind w:left="-24"/>
                    <w:jc w:val="center"/>
                    <w:rPr>
                      <w:rFonts w:ascii="Times New Roman" w:hAnsi="Times New Roman"/>
                      <w:b/>
                      <w:sz w:val="20"/>
                    </w:rPr>
                  </w:pPr>
                  <w:r w:rsidRPr="00653FAD">
                    <w:rPr>
                      <w:rFonts w:ascii="Times New Roman" w:hAnsi="Times New Roman"/>
                      <w:b/>
                      <w:sz w:val="20"/>
                    </w:rPr>
                    <w:t>ANNO</w:t>
                  </w:r>
                </w:p>
              </w:tc>
              <w:tc>
                <w:tcPr>
                  <w:tcW w:w="3927" w:type="dxa"/>
                  <w:tcBorders>
                    <w:top w:val="single" w:sz="4" w:space="0" w:color="000000"/>
                    <w:left w:val="single" w:sz="4" w:space="0" w:color="000000"/>
                    <w:bottom w:val="single" w:sz="4" w:space="0" w:color="000000"/>
                    <w:right w:val="nil"/>
                  </w:tcBorders>
                  <w:hideMark/>
                </w:tcPr>
                <w:p w14:paraId="527CB2D7" w14:textId="77777777" w:rsidR="00D01A3D" w:rsidRPr="00653FAD" w:rsidRDefault="00D01A3D" w:rsidP="00D01A3D">
                  <w:pPr>
                    <w:spacing w:after="120"/>
                    <w:ind w:left="-24"/>
                    <w:jc w:val="center"/>
                    <w:rPr>
                      <w:rFonts w:ascii="Times New Roman" w:hAnsi="Times New Roman"/>
                      <w:b/>
                      <w:sz w:val="20"/>
                    </w:rPr>
                  </w:pPr>
                  <w:r w:rsidRPr="00653FAD">
                    <w:rPr>
                      <w:rFonts w:ascii="Times New Roman" w:hAnsi="Times New Roman"/>
                      <w:b/>
                      <w:sz w:val="20"/>
                    </w:rPr>
                    <w:t>FABBISOGNO</w:t>
                  </w:r>
                </w:p>
              </w:tc>
              <w:tc>
                <w:tcPr>
                  <w:tcW w:w="2491" w:type="dxa"/>
                  <w:tcBorders>
                    <w:top w:val="single" w:sz="4" w:space="0" w:color="000000"/>
                    <w:left w:val="single" w:sz="4" w:space="0" w:color="000000"/>
                    <w:bottom w:val="single" w:sz="4" w:space="0" w:color="000000"/>
                    <w:right w:val="single" w:sz="4" w:space="0" w:color="000000"/>
                  </w:tcBorders>
                  <w:hideMark/>
                </w:tcPr>
                <w:p w14:paraId="14E5CE28" w14:textId="77777777" w:rsidR="00D01A3D" w:rsidRPr="00653FAD" w:rsidRDefault="00D01A3D" w:rsidP="00D01A3D">
                  <w:pPr>
                    <w:spacing w:after="120"/>
                    <w:ind w:left="-24"/>
                    <w:jc w:val="center"/>
                    <w:rPr>
                      <w:rFonts w:ascii="Times New Roman" w:hAnsi="Times New Roman"/>
                      <w:b/>
                      <w:sz w:val="20"/>
                    </w:rPr>
                  </w:pPr>
                  <w:r w:rsidRPr="00653FAD">
                    <w:rPr>
                      <w:rFonts w:ascii="Times New Roman" w:hAnsi="Times New Roman"/>
                      <w:b/>
                      <w:sz w:val="20"/>
                    </w:rPr>
                    <w:t>MODALITA’ DI COPERTURA</w:t>
                  </w:r>
                </w:p>
              </w:tc>
              <w:tc>
                <w:tcPr>
                  <w:tcW w:w="2491" w:type="dxa"/>
                  <w:tcBorders>
                    <w:top w:val="single" w:sz="4" w:space="0" w:color="000000"/>
                    <w:left w:val="single" w:sz="4" w:space="0" w:color="000000"/>
                    <w:bottom w:val="single" w:sz="4" w:space="0" w:color="000000"/>
                    <w:right w:val="single" w:sz="4" w:space="0" w:color="000000"/>
                  </w:tcBorders>
                  <w:hideMark/>
                </w:tcPr>
                <w:p w14:paraId="4F228529" w14:textId="77777777" w:rsidR="00D01A3D" w:rsidRPr="00653FAD" w:rsidRDefault="00D01A3D" w:rsidP="00D01A3D">
                  <w:pPr>
                    <w:spacing w:after="120"/>
                    <w:ind w:left="-24"/>
                    <w:jc w:val="center"/>
                    <w:rPr>
                      <w:rFonts w:ascii="Times New Roman" w:hAnsi="Times New Roman"/>
                      <w:b/>
                      <w:sz w:val="20"/>
                    </w:rPr>
                  </w:pPr>
                  <w:r w:rsidRPr="00653FAD">
                    <w:rPr>
                      <w:rFonts w:ascii="Times New Roman" w:hAnsi="Times New Roman"/>
                      <w:b/>
                      <w:sz w:val="20"/>
                    </w:rPr>
                    <w:t>COSTO PREVISTO</w:t>
                  </w:r>
                </w:p>
              </w:tc>
            </w:tr>
            <w:tr w:rsidR="00D01A3D" w:rsidRPr="00653FAD" w14:paraId="5CC0B3A6" w14:textId="77777777" w:rsidTr="00217A9E">
              <w:trPr>
                <w:trHeight w:val="690"/>
              </w:trPr>
              <w:tc>
                <w:tcPr>
                  <w:tcW w:w="852" w:type="dxa"/>
                  <w:tcBorders>
                    <w:left w:val="single" w:sz="4" w:space="0" w:color="000000"/>
                    <w:bottom w:val="single" w:sz="4" w:space="0" w:color="000000"/>
                    <w:right w:val="nil"/>
                  </w:tcBorders>
                  <w:vAlign w:val="center"/>
                </w:tcPr>
                <w:p w14:paraId="06D2245A" w14:textId="1394F150" w:rsidR="00D01A3D" w:rsidRPr="00653FAD" w:rsidRDefault="004C27DE" w:rsidP="00D01A3D">
                  <w:pPr>
                    <w:spacing w:after="120"/>
                    <w:ind w:left="-24"/>
                    <w:jc w:val="center"/>
                    <w:rPr>
                      <w:rFonts w:ascii="Times New Roman" w:hAnsi="Times New Roman"/>
                      <w:sz w:val="20"/>
                    </w:rPr>
                  </w:pPr>
                  <w:r>
                    <w:rPr>
                      <w:rFonts w:ascii="Times New Roman" w:hAnsi="Times New Roman"/>
                      <w:sz w:val="20"/>
                    </w:rPr>
                    <w:t>2023</w:t>
                  </w:r>
                </w:p>
              </w:tc>
              <w:tc>
                <w:tcPr>
                  <w:tcW w:w="3927" w:type="dxa"/>
                  <w:tcBorders>
                    <w:top w:val="single" w:sz="4" w:space="0" w:color="000000"/>
                    <w:left w:val="single" w:sz="4" w:space="0" w:color="000000"/>
                    <w:bottom w:val="single" w:sz="4" w:space="0" w:color="000000"/>
                    <w:right w:val="nil"/>
                  </w:tcBorders>
                </w:tcPr>
                <w:p w14:paraId="46C9339D" w14:textId="77777777" w:rsidR="00D01A3D" w:rsidRPr="00653FAD" w:rsidRDefault="00D01A3D" w:rsidP="00D01A3D">
                  <w:pPr>
                    <w:spacing w:after="120"/>
                    <w:ind w:left="-24"/>
                    <w:rPr>
                      <w:rFonts w:ascii="Times New Roman" w:hAnsi="Times New Roman"/>
                      <w:sz w:val="20"/>
                    </w:rPr>
                  </w:pPr>
                  <w:r w:rsidRPr="00653FAD">
                    <w:rPr>
                      <w:rFonts w:ascii="Times New Roman" w:hAnsi="Times New Roman"/>
                      <w:sz w:val="20"/>
                    </w:rPr>
                    <w:t>Possibilità di utilizzo di personale temporaneo e parziale, anche mediante rapporto con società interinale, per eventuali esigenze al momento non preventivabili, sempre nel rispetto della normativa vigente in tema di lavoro flessibile (in primis, dell’art. 9, comma 28, D.L. n. 78/2010, nonché dell’art. 36 del D.Lgs. n. 165/2001 e s.m.i.) e di contenimento della spesa di personale.</w:t>
                  </w:r>
                </w:p>
              </w:tc>
              <w:tc>
                <w:tcPr>
                  <w:tcW w:w="2491" w:type="dxa"/>
                  <w:tcBorders>
                    <w:top w:val="single" w:sz="4" w:space="0" w:color="000000"/>
                    <w:left w:val="single" w:sz="4" w:space="0" w:color="000000"/>
                    <w:bottom w:val="single" w:sz="4" w:space="0" w:color="000000"/>
                    <w:right w:val="single" w:sz="4" w:space="0" w:color="000000"/>
                  </w:tcBorders>
                </w:tcPr>
                <w:p w14:paraId="2FCDDA3D" w14:textId="77777777" w:rsidR="00D01A3D" w:rsidRPr="00653FAD" w:rsidRDefault="00D01A3D" w:rsidP="00D01A3D">
                  <w:pPr>
                    <w:snapToGrid w:val="0"/>
                    <w:spacing w:after="120"/>
                    <w:ind w:left="-24"/>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073A2597" w14:textId="77777777" w:rsidR="00D01A3D" w:rsidRPr="00653FAD" w:rsidRDefault="00D01A3D" w:rsidP="00D01A3D">
                  <w:pPr>
                    <w:snapToGrid w:val="0"/>
                    <w:spacing w:after="120"/>
                    <w:ind w:left="-24"/>
                    <w:jc w:val="both"/>
                    <w:rPr>
                      <w:rFonts w:ascii="Times New Roman" w:hAnsi="Times New Roman"/>
                      <w:sz w:val="20"/>
                    </w:rPr>
                  </w:pPr>
                </w:p>
              </w:tc>
            </w:tr>
            <w:tr w:rsidR="00D01A3D" w:rsidRPr="00653FAD" w14:paraId="433D62C7" w14:textId="77777777" w:rsidTr="00217A9E">
              <w:tc>
                <w:tcPr>
                  <w:tcW w:w="852" w:type="dxa"/>
                  <w:tcBorders>
                    <w:top w:val="single" w:sz="4" w:space="0" w:color="000000"/>
                    <w:left w:val="single" w:sz="4" w:space="0" w:color="000000"/>
                    <w:bottom w:val="single" w:sz="4" w:space="0" w:color="000000"/>
                    <w:right w:val="nil"/>
                  </w:tcBorders>
                  <w:vAlign w:val="center"/>
                  <w:hideMark/>
                </w:tcPr>
                <w:p w14:paraId="67B8BE12" w14:textId="77777777" w:rsidR="00D01A3D" w:rsidRPr="00653FAD" w:rsidRDefault="00D01A3D" w:rsidP="00D01A3D">
                  <w:pPr>
                    <w:spacing w:after="120"/>
                    <w:ind w:left="-24"/>
                    <w:jc w:val="center"/>
                    <w:rPr>
                      <w:rFonts w:ascii="Times New Roman" w:hAnsi="Times New Roman"/>
                      <w:sz w:val="20"/>
                    </w:rPr>
                  </w:pPr>
                  <w:r w:rsidRPr="00653FAD">
                    <w:rPr>
                      <w:rFonts w:ascii="Times New Roman" w:hAnsi="Times New Roman"/>
                      <w:sz w:val="20"/>
                    </w:rPr>
                    <w:lastRenderedPageBreak/>
                    <w:t>2024</w:t>
                  </w:r>
                </w:p>
              </w:tc>
              <w:tc>
                <w:tcPr>
                  <w:tcW w:w="3927" w:type="dxa"/>
                  <w:tcBorders>
                    <w:top w:val="single" w:sz="4" w:space="0" w:color="000000"/>
                    <w:left w:val="single" w:sz="4" w:space="0" w:color="000000"/>
                    <w:bottom w:val="single" w:sz="4" w:space="0" w:color="000000"/>
                    <w:right w:val="nil"/>
                  </w:tcBorders>
                  <w:hideMark/>
                </w:tcPr>
                <w:p w14:paraId="35609F6B" w14:textId="77777777" w:rsidR="00D01A3D" w:rsidRPr="00653FAD" w:rsidRDefault="00D01A3D" w:rsidP="00D01A3D">
                  <w:pPr>
                    <w:spacing w:after="120"/>
                    <w:ind w:left="-24"/>
                    <w:rPr>
                      <w:rFonts w:ascii="Times New Roman" w:hAnsi="Times New Roman"/>
                      <w:sz w:val="20"/>
                    </w:rPr>
                  </w:pPr>
                  <w:r w:rsidRPr="00653FAD">
                    <w:rPr>
                      <w:rFonts w:ascii="Times New Roman" w:hAnsi="Times New Roman"/>
                      <w:sz w:val="20"/>
                    </w:rPr>
                    <w:t>Possibilità di utilizzo di personale temporaneo e parziale, anche mediante rapporto con società interinale, per eventuali esigenze al momento non preventivabili, sempre nel rispetto della normativa vigente in tema di lavoro flessibile (in primis, dell’art. 9, comma 28, D.L. n. 78/2010, nonché dell’art. 36 del D.Lgs. n. 165/2001 e s.m.i.) e di contenimento della spesa di personale</w:t>
                  </w:r>
                </w:p>
              </w:tc>
              <w:tc>
                <w:tcPr>
                  <w:tcW w:w="2491" w:type="dxa"/>
                  <w:tcBorders>
                    <w:top w:val="single" w:sz="4" w:space="0" w:color="000000"/>
                    <w:left w:val="single" w:sz="4" w:space="0" w:color="000000"/>
                    <w:bottom w:val="single" w:sz="4" w:space="0" w:color="000000"/>
                    <w:right w:val="single" w:sz="4" w:space="0" w:color="000000"/>
                  </w:tcBorders>
                </w:tcPr>
                <w:p w14:paraId="56D08E68" w14:textId="77777777" w:rsidR="00D01A3D" w:rsidRPr="00653FAD" w:rsidRDefault="00D01A3D" w:rsidP="00D01A3D">
                  <w:pPr>
                    <w:snapToGrid w:val="0"/>
                    <w:spacing w:after="120"/>
                    <w:ind w:left="-24"/>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19F41103" w14:textId="77777777" w:rsidR="00D01A3D" w:rsidRPr="00653FAD" w:rsidRDefault="00D01A3D" w:rsidP="00D01A3D">
                  <w:pPr>
                    <w:snapToGrid w:val="0"/>
                    <w:spacing w:after="120"/>
                    <w:ind w:left="-24"/>
                    <w:rPr>
                      <w:rFonts w:ascii="Times New Roman" w:hAnsi="Times New Roman"/>
                      <w:sz w:val="20"/>
                    </w:rPr>
                  </w:pPr>
                </w:p>
              </w:tc>
            </w:tr>
            <w:tr w:rsidR="00D01A3D" w:rsidRPr="00653FAD" w14:paraId="2D25DC40" w14:textId="77777777" w:rsidTr="00217A9E">
              <w:tc>
                <w:tcPr>
                  <w:tcW w:w="852" w:type="dxa"/>
                  <w:tcBorders>
                    <w:top w:val="single" w:sz="4" w:space="0" w:color="000000"/>
                    <w:left w:val="single" w:sz="4" w:space="0" w:color="000000"/>
                    <w:bottom w:val="single" w:sz="4" w:space="0" w:color="000000"/>
                    <w:right w:val="nil"/>
                  </w:tcBorders>
                  <w:vAlign w:val="center"/>
                  <w:hideMark/>
                </w:tcPr>
                <w:p w14:paraId="25033919" w14:textId="77777777" w:rsidR="00D01A3D" w:rsidRPr="00653FAD" w:rsidRDefault="00D01A3D" w:rsidP="00D01A3D">
                  <w:pPr>
                    <w:spacing w:after="120"/>
                    <w:ind w:left="-24"/>
                    <w:jc w:val="center"/>
                    <w:rPr>
                      <w:rFonts w:ascii="Times New Roman" w:hAnsi="Times New Roman"/>
                      <w:sz w:val="20"/>
                    </w:rPr>
                  </w:pPr>
                  <w:r w:rsidRPr="00653FAD">
                    <w:rPr>
                      <w:rFonts w:ascii="Times New Roman" w:hAnsi="Times New Roman"/>
                      <w:sz w:val="20"/>
                    </w:rPr>
                    <w:t>2025</w:t>
                  </w:r>
                </w:p>
              </w:tc>
              <w:tc>
                <w:tcPr>
                  <w:tcW w:w="3927" w:type="dxa"/>
                  <w:tcBorders>
                    <w:top w:val="single" w:sz="4" w:space="0" w:color="000000"/>
                    <w:left w:val="single" w:sz="4" w:space="0" w:color="000000"/>
                    <w:bottom w:val="single" w:sz="4" w:space="0" w:color="000000"/>
                    <w:right w:val="nil"/>
                  </w:tcBorders>
                  <w:hideMark/>
                </w:tcPr>
                <w:p w14:paraId="07B22E88" w14:textId="77777777" w:rsidR="00D01A3D" w:rsidRPr="00653FAD" w:rsidRDefault="00D01A3D" w:rsidP="00D01A3D">
                  <w:pPr>
                    <w:spacing w:after="120"/>
                    <w:ind w:left="-24"/>
                    <w:rPr>
                      <w:rFonts w:ascii="Times New Roman" w:hAnsi="Times New Roman"/>
                      <w:sz w:val="20"/>
                    </w:rPr>
                  </w:pPr>
                  <w:r w:rsidRPr="00653FAD">
                    <w:rPr>
                      <w:rFonts w:ascii="Times New Roman" w:hAnsi="Times New Roman"/>
                      <w:sz w:val="20"/>
                    </w:rPr>
                    <w:t xml:space="preserve">Possibilità di utilizzo di personale temporaneo e parziale per eventuali esigenze al momento non preventivabili, sempre nel rispetto della normativa vigente in tema di lavoro flessibile (in primis, dell’art. 9, comma 28, D.L. n. 78/2010, nonché dell’art. 36 del D.Lgs. n. 165/2001 e s.m.i.) e di contenimento della spesa di personale. </w:t>
                  </w:r>
                </w:p>
              </w:tc>
              <w:tc>
                <w:tcPr>
                  <w:tcW w:w="2491" w:type="dxa"/>
                  <w:tcBorders>
                    <w:top w:val="single" w:sz="4" w:space="0" w:color="000000"/>
                    <w:left w:val="single" w:sz="4" w:space="0" w:color="000000"/>
                    <w:bottom w:val="single" w:sz="4" w:space="0" w:color="000000"/>
                    <w:right w:val="single" w:sz="4" w:space="0" w:color="000000"/>
                  </w:tcBorders>
                </w:tcPr>
                <w:p w14:paraId="59AFBE98" w14:textId="77777777" w:rsidR="00D01A3D" w:rsidRPr="00653FAD" w:rsidRDefault="00D01A3D" w:rsidP="00D01A3D">
                  <w:pPr>
                    <w:snapToGrid w:val="0"/>
                    <w:spacing w:after="120"/>
                    <w:ind w:left="-24"/>
                    <w:rPr>
                      <w:rFonts w:ascii="Times New Roman" w:hAnsi="Times New Roman"/>
                      <w:sz w:val="20"/>
                    </w:rPr>
                  </w:pPr>
                </w:p>
              </w:tc>
              <w:tc>
                <w:tcPr>
                  <w:tcW w:w="2491" w:type="dxa"/>
                  <w:tcBorders>
                    <w:top w:val="single" w:sz="4" w:space="0" w:color="000000"/>
                    <w:left w:val="single" w:sz="4" w:space="0" w:color="000000"/>
                    <w:bottom w:val="single" w:sz="4" w:space="0" w:color="000000"/>
                    <w:right w:val="single" w:sz="4" w:space="0" w:color="000000"/>
                  </w:tcBorders>
                </w:tcPr>
                <w:p w14:paraId="462FA6FC" w14:textId="77777777" w:rsidR="00D01A3D" w:rsidRPr="00653FAD" w:rsidRDefault="00D01A3D" w:rsidP="00D01A3D">
                  <w:pPr>
                    <w:snapToGrid w:val="0"/>
                    <w:spacing w:after="120"/>
                    <w:ind w:left="-24"/>
                    <w:rPr>
                      <w:rFonts w:ascii="Times New Roman" w:hAnsi="Times New Roman"/>
                      <w:sz w:val="20"/>
                    </w:rPr>
                  </w:pPr>
                </w:p>
              </w:tc>
            </w:tr>
          </w:tbl>
          <w:p w14:paraId="794960EA" w14:textId="77777777" w:rsidR="00D01A3D" w:rsidRPr="00C56DF8" w:rsidRDefault="00D01A3D" w:rsidP="00E834C0">
            <w:pPr>
              <w:jc w:val="both"/>
              <w:rPr>
                <w:rFonts w:ascii="Times New Roman" w:hAnsi="Times New Roman"/>
                <w:b/>
                <w:bCs/>
                <w:szCs w:val="22"/>
              </w:rPr>
            </w:pPr>
          </w:p>
          <w:p w14:paraId="28B92CF5" w14:textId="12825654" w:rsidR="000C77E6" w:rsidRPr="00C56DF8" w:rsidRDefault="00D7185B" w:rsidP="00E834C0">
            <w:pPr>
              <w:jc w:val="both"/>
              <w:rPr>
                <w:rFonts w:ascii="Times New Roman" w:hAnsi="Times New Roman"/>
                <w:b/>
                <w:bCs/>
                <w:szCs w:val="22"/>
              </w:rPr>
            </w:pPr>
            <w:r w:rsidRPr="00C56DF8">
              <w:rPr>
                <w:rFonts w:ascii="Times New Roman" w:hAnsi="Times New Roman"/>
                <w:b/>
                <w:bCs/>
                <w:szCs w:val="22"/>
              </w:rPr>
              <w:t>f</w:t>
            </w:r>
            <w:r w:rsidR="000C77E6" w:rsidRPr="00C56DF8">
              <w:rPr>
                <w:rFonts w:ascii="Times New Roman" w:hAnsi="Times New Roman"/>
                <w:b/>
                <w:bCs/>
                <w:szCs w:val="22"/>
              </w:rPr>
              <w:t>) assunzioni mediante stabilizzazione di personale:</w:t>
            </w:r>
          </w:p>
          <w:p w14:paraId="22D4AC5A" w14:textId="6DDFA375" w:rsidR="005E0082" w:rsidRPr="00C56DF8" w:rsidRDefault="00D01A3D" w:rsidP="005E0082">
            <w:pPr>
              <w:jc w:val="both"/>
              <w:rPr>
                <w:rFonts w:ascii="Times New Roman" w:hAnsi="Times New Roman"/>
                <w:i/>
                <w:iCs/>
                <w:color w:val="FF0000"/>
                <w:szCs w:val="22"/>
              </w:rPr>
            </w:pPr>
            <w:r>
              <w:rPr>
                <w:rFonts w:ascii="Times New Roman" w:hAnsi="Times New Roman"/>
                <w:szCs w:val="22"/>
              </w:rPr>
              <w:t>/</w:t>
            </w:r>
          </w:p>
          <w:p w14:paraId="07E9A059" w14:textId="53E4CEA3" w:rsidR="000C77E6" w:rsidRPr="00C56DF8" w:rsidRDefault="000C77E6" w:rsidP="00E834C0">
            <w:pPr>
              <w:jc w:val="both"/>
              <w:rPr>
                <w:rFonts w:ascii="Times New Roman" w:hAnsi="Times New Roman"/>
                <w:i/>
                <w:iCs/>
                <w:color w:val="FF0000"/>
                <w:szCs w:val="22"/>
              </w:rPr>
            </w:pPr>
          </w:p>
          <w:p w14:paraId="13E15350" w14:textId="6FD56C3C" w:rsidR="00425101" w:rsidRPr="00C56DF8" w:rsidRDefault="00425101" w:rsidP="00D01A3D">
            <w:pPr>
              <w:jc w:val="both"/>
              <w:rPr>
                <w:rFonts w:ascii="Times New Roman" w:hAnsi="Times New Roman"/>
                <w:szCs w:val="22"/>
              </w:rPr>
            </w:pPr>
          </w:p>
        </w:tc>
      </w:tr>
      <w:tr w:rsidR="000C09B7" w:rsidRPr="00C56DF8" w14:paraId="1774DBBB" w14:textId="77777777" w:rsidTr="00EF5F74">
        <w:tc>
          <w:tcPr>
            <w:tcW w:w="1793" w:type="dxa"/>
            <w:vMerge/>
          </w:tcPr>
          <w:p w14:paraId="007137E4" w14:textId="77777777" w:rsidR="000C09B7" w:rsidRPr="00C56DF8" w:rsidRDefault="000C09B7" w:rsidP="00E834C0">
            <w:pPr>
              <w:jc w:val="both"/>
              <w:rPr>
                <w:rFonts w:ascii="Times New Roman" w:hAnsi="Times New Roman"/>
                <w:sz w:val="28"/>
                <w:szCs w:val="24"/>
              </w:rPr>
            </w:pPr>
          </w:p>
        </w:tc>
        <w:tc>
          <w:tcPr>
            <w:tcW w:w="3480" w:type="dxa"/>
            <w:shd w:val="clear" w:color="auto" w:fill="E2EFD9" w:themeFill="accent6" w:themeFillTint="33"/>
          </w:tcPr>
          <w:p w14:paraId="2E68D8F7" w14:textId="6355DDE8" w:rsidR="000C09B7" w:rsidRPr="00C56DF8" w:rsidRDefault="00E834C0" w:rsidP="00E834C0">
            <w:pPr>
              <w:jc w:val="both"/>
              <w:rPr>
                <w:rFonts w:ascii="Times New Roman" w:hAnsi="Times New Roman"/>
                <w:szCs w:val="22"/>
              </w:rPr>
            </w:pPr>
            <w:r w:rsidRPr="00C56DF8">
              <w:rPr>
                <w:rFonts w:ascii="Times New Roman" w:hAnsi="Times New Roman"/>
                <w:szCs w:val="22"/>
              </w:rPr>
              <w:t xml:space="preserve">3.3.4 </w:t>
            </w:r>
            <w:r w:rsidR="00676F00" w:rsidRPr="00C56DF8">
              <w:rPr>
                <w:rFonts w:ascii="Times New Roman" w:hAnsi="Times New Roman"/>
                <w:szCs w:val="22"/>
              </w:rPr>
              <w:t>Formazione del personale</w:t>
            </w:r>
          </w:p>
          <w:p w14:paraId="1279DE07" w14:textId="46586343" w:rsidR="00AC2E11" w:rsidRPr="00C56DF8" w:rsidRDefault="00AC2E11" w:rsidP="00D01A3D">
            <w:pPr>
              <w:pStyle w:val="Paragrafoelenco"/>
              <w:ind w:left="753"/>
              <w:jc w:val="both"/>
              <w:rPr>
                <w:rFonts w:ascii="Times New Roman" w:hAnsi="Times New Roman"/>
                <w:szCs w:val="22"/>
              </w:rPr>
            </w:pPr>
          </w:p>
        </w:tc>
        <w:tc>
          <w:tcPr>
            <w:tcW w:w="9004" w:type="dxa"/>
          </w:tcPr>
          <w:p w14:paraId="2F4377E5" w14:textId="77777777" w:rsidR="000C09B7" w:rsidRPr="00C56DF8" w:rsidRDefault="00DF060D" w:rsidP="00E834C0">
            <w:pPr>
              <w:pStyle w:val="Paragrafoelenco"/>
              <w:numPr>
                <w:ilvl w:val="0"/>
                <w:numId w:val="7"/>
              </w:numPr>
              <w:jc w:val="both"/>
              <w:rPr>
                <w:rFonts w:ascii="Times New Roman" w:hAnsi="Times New Roman"/>
                <w:b/>
                <w:bCs/>
                <w:szCs w:val="22"/>
              </w:rPr>
            </w:pPr>
            <w:r w:rsidRPr="00C56DF8">
              <w:rPr>
                <w:rFonts w:ascii="Times New Roman" w:hAnsi="Times New Roman"/>
                <w:b/>
                <w:bCs/>
                <w:szCs w:val="22"/>
              </w:rPr>
              <w:t>priorità strategiche in termini di riqualificazione o potenziamento delle competenze:</w:t>
            </w:r>
          </w:p>
          <w:p w14:paraId="1A3FD972" w14:textId="1E34CA4B" w:rsidR="00D01A3D" w:rsidRPr="00C56DF8" w:rsidRDefault="004653DC" w:rsidP="00D01A3D">
            <w:pPr>
              <w:pStyle w:val="Paragrafoelenco"/>
              <w:jc w:val="both"/>
              <w:rPr>
                <w:rFonts w:ascii="Times New Roman" w:hAnsi="Times New Roman"/>
                <w:szCs w:val="22"/>
              </w:rPr>
            </w:pPr>
            <w:r w:rsidRPr="00993DE7">
              <w:rPr>
                <w:rFonts w:ascii="Times New Roman" w:hAnsi="Times New Roman"/>
                <w:i/>
                <w:iCs/>
                <w:szCs w:val="22"/>
                <w:highlight w:val="yellow"/>
              </w:rPr>
              <w:t xml:space="preserve">sono ritenuti prioritari, in correlazione con gli obiettivi strategici generali dell’ente, come individuati nella sezione Valore pubblico </w:t>
            </w:r>
            <w:r w:rsidR="00D01A3D" w:rsidRPr="00993DE7">
              <w:rPr>
                <w:rFonts w:ascii="Times New Roman" w:hAnsi="Times New Roman"/>
                <w:i/>
                <w:iCs/>
                <w:szCs w:val="22"/>
                <w:highlight w:val="yellow"/>
              </w:rPr>
              <w:t xml:space="preserve">la </w:t>
            </w:r>
            <w:r w:rsidRPr="00993DE7">
              <w:rPr>
                <w:rFonts w:ascii="Times New Roman" w:hAnsi="Times New Roman"/>
                <w:i/>
                <w:iCs/>
                <w:szCs w:val="22"/>
                <w:highlight w:val="yellow"/>
              </w:rPr>
              <w:t>formazione informatica e digitale del personale</w:t>
            </w:r>
            <w:r w:rsidR="00D01A3D" w:rsidRPr="00993DE7">
              <w:rPr>
                <w:rFonts w:ascii="Times New Roman" w:hAnsi="Times New Roman"/>
                <w:i/>
                <w:iCs/>
                <w:szCs w:val="22"/>
                <w:highlight w:val="yellow"/>
              </w:rPr>
              <w:t xml:space="preserve"> e sulle materie obbligatorie quali ad esempio la Legge 190/2012 in materia di prevenzione e repressione della corruzione e della illegalità e il D.lgs. 81/2008 in materia di sicurezza sui luoghi di lavoro (art. 37).</w:t>
            </w:r>
          </w:p>
          <w:p w14:paraId="07F4B389" w14:textId="77777777" w:rsidR="00C23576" w:rsidRPr="00C56DF8" w:rsidRDefault="00C23576" w:rsidP="00E834C0">
            <w:pPr>
              <w:pStyle w:val="Paragrafoelenco"/>
              <w:jc w:val="both"/>
              <w:rPr>
                <w:rFonts w:ascii="Times New Roman" w:hAnsi="Times New Roman"/>
                <w:i/>
                <w:iCs/>
                <w:color w:val="FF0000"/>
                <w:szCs w:val="22"/>
              </w:rPr>
            </w:pPr>
          </w:p>
          <w:p w14:paraId="60A72BB4" w14:textId="77777777" w:rsidR="00DF060D" w:rsidRPr="00C56DF8" w:rsidRDefault="00263605" w:rsidP="00E834C0">
            <w:pPr>
              <w:pStyle w:val="Paragrafoelenco"/>
              <w:numPr>
                <w:ilvl w:val="0"/>
                <w:numId w:val="7"/>
              </w:numPr>
              <w:jc w:val="both"/>
              <w:rPr>
                <w:rFonts w:ascii="Times New Roman" w:hAnsi="Times New Roman"/>
                <w:b/>
                <w:bCs/>
                <w:szCs w:val="22"/>
              </w:rPr>
            </w:pPr>
            <w:r w:rsidRPr="00C56DF8">
              <w:rPr>
                <w:rFonts w:ascii="Times New Roman" w:hAnsi="Times New Roman"/>
                <w:b/>
                <w:bCs/>
                <w:szCs w:val="22"/>
              </w:rPr>
              <w:t>risorse interne ed esterne disponibili e/o ‘attivabili’ ai fini delle strategie formative:</w:t>
            </w:r>
          </w:p>
          <w:p w14:paraId="7C983D37" w14:textId="771C2A8A" w:rsidR="004653DC" w:rsidRPr="00D01A3D" w:rsidRDefault="00D01A3D" w:rsidP="00E834C0">
            <w:pPr>
              <w:pStyle w:val="Paragrafoelenco"/>
              <w:jc w:val="both"/>
              <w:rPr>
                <w:rFonts w:ascii="Times New Roman" w:hAnsi="Times New Roman"/>
                <w:i/>
                <w:iCs/>
                <w:szCs w:val="22"/>
              </w:rPr>
            </w:pPr>
            <w:r w:rsidRPr="00993DE7">
              <w:rPr>
                <w:rFonts w:ascii="Times New Roman" w:hAnsi="Times New Roman"/>
                <w:i/>
                <w:iCs/>
                <w:szCs w:val="22"/>
                <w:highlight w:val="yellow"/>
              </w:rPr>
              <w:t xml:space="preserve">Si ricorrerà a formatori esterni </w:t>
            </w:r>
            <w:r w:rsidR="004653DC" w:rsidRPr="00993DE7">
              <w:rPr>
                <w:rFonts w:ascii="Times New Roman" w:hAnsi="Times New Roman"/>
                <w:i/>
                <w:iCs/>
                <w:szCs w:val="22"/>
                <w:highlight w:val="yellow"/>
              </w:rPr>
              <w:t xml:space="preserve"> </w:t>
            </w:r>
            <w:r w:rsidRPr="00993DE7">
              <w:rPr>
                <w:rFonts w:ascii="Times New Roman" w:hAnsi="Times New Roman"/>
                <w:i/>
                <w:iCs/>
                <w:szCs w:val="22"/>
                <w:highlight w:val="yellow"/>
              </w:rPr>
              <w:t>.</w:t>
            </w:r>
          </w:p>
          <w:p w14:paraId="2820BE6C" w14:textId="77777777" w:rsidR="004653DC" w:rsidRPr="00C56DF8" w:rsidRDefault="004653DC" w:rsidP="00E834C0">
            <w:pPr>
              <w:pStyle w:val="Paragrafoelenco"/>
              <w:jc w:val="both"/>
              <w:rPr>
                <w:rFonts w:ascii="Times New Roman" w:hAnsi="Times New Roman"/>
                <w:b/>
                <w:bCs/>
                <w:szCs w:val="22"/>
              </w:rPr>
            </w:pPr>
          </w:p>
          <w:p w14:paraId="071808C0" w14:textId="77777777" w:rsidR="00263605" w:rsidRPr="00C56DF8" w:rsidRDefault="00263605" w:rsidP="00E834C0">
            <w:pPr>
              <w:pStyle w:val="Paragrafoelenco"/>
              <w:numPr>
                <w:ilvl w:val="0"/>
                <w:numId w:val="7"/>
              </w:numPr>
              <w:jc w:val="both"/>
              <w:rPr>
                <w:rFonts w:ascii="Times New Roman" w:hAnsi="Times New Roman"/>
                <w:b/>
                <w:bCs/>
                <w:szCs w:val="22"/>
              </w:rPr>
            </w:pPr>
            <w:r w:rsidRPr="00C56DF8">
              <w:rPr>
                <w:rFonts w:ascii="Times New Roman" w:hAnsi="Times New Roman"/>
                <w:b/>
                <w:bCs/>
                <w:szCs w:val="22"/>
              </w:rPr>
              <w:t>misure volte ad incentivare e favorire l’accesso a percorsi di istruzione e qualificazione del personale (laureato e non):</w:t>
            </w:r>
          </w:p>
          <w:p w14:paraId="4018F013" w14:textId="7B7BEF15" w:rsidR="004653DC" w:rsidRPr="00D01A3D" w:rsidRDefault="00993DE7" w:rsidP="00E834C0">
            <w:pPr>
              <w:pStyle w:val="Paragrafoelenco"/>
              <w:jc w:val="both"/>
              <w:rPr>
                <w:rFonts w:ascii="Times New Roman" w:hAnsi="Times New Roman"/>
                <w:i/>
                <w:iCs/>
                <w:szCs w:val="22"/>
              </w:rPr>
            </w:pPr>
            <w:r w:rsidRPr="0068678B">
              <w:rPr>
                <w:rFonts w:ascii="Times New Roman" w:hAnsi="Times New Roman"/>
                <w:i/>
                <w:iCs/>
                <w:szCs w:val="22"/>
                <w:highlight w:val="yellow"/>
              </w:rPr>
              <w:t>Promozione di percorsi specifici a seconda del profilo del dipendente e delle necessità normative a seconda del ufficio nel quale il dipendente è coinvolto</w:t>
            </w:r>
          </w:p>
          <w:p w14:paraId="7AA5C0F2" w14:textId="77777777" w:rsidR="00085E6C" w:rsidRPr="00C56DF8" w:rsidRDefault="00085E6C" w:rsidP="00E834C0">
            <w:pPr>
              <w:pStyle w:val="Paragrafoelenco"/>
              <w:jc w:val="both"/>
              <w:rPr>
                <w:rFonts w:ascii="Times New Roman" w:hAnsi="Times New Roman"/>
                <w:i/>
                <w:iCs/>
                <w:color w:val="FF0000"/>
                <w:szCs w:val="22"/>
              </w:rPr>
            </w:pPr>
          </w:p>
          <w:p w14:paraId="7BE64A3A" w14:textId="05D4223F" w:rsidR="005004E3" w:rsidRPr="00C56DF8" w:rsidRDefault="005004E3" w:rsidP="00E834C0">
            <w:pPr>
              <w:pStyle w:val="Paragrafoelenco"/>
              <w:numPr>
                <w:ilvl w:val="0"/>
                <w:numId w:val="7"/>
              </w:numPr>
              <w:jc w:val="both"/>
              <w:rPr>
                <w:rFonts w:ascii="Times New Roman" w:hAnsi="Times New Roman"/>
                <w:b/>
                <w:bCs/>
                <w:szCs w:val="22"/>
              </w:rPr>
            </w:pPr>
            <w:r w:rsidRPr="00C56DF8">
              <w:rPr>
                <w:rFonts w:ascii="Times New Roman" w:hAnsi="Times New Roman"/>
                <w:b/>
                <w:bCs/>
                <w:szCs w:val="22"/>
              </w:rPr>
              <w:t>obiettivi e risultati attesi della formazione, in termini di:</w:t>
            </w:r>
          </w:p>
          <w:p w14:paraId="3FB3378B" w14:textId="77777777" w:rsidR="00DB76B9" w:rsidRPr="00D32C07" w:rsidRDefault="005004E3" w:rsidP="00DB76B9">
            <w:pPr>
              <w:pStyle w:val="Paragrafoelenco"/>
              <w:numPr>
                <w:ilvl w:val="2"/>
                <w:numId w:val="9"/>
              </w:numPr>
              <w:ind w:left="1414"/>
              <w:jc w:val="both"/>
              <w:rPr>
                <w:rFonts w:ascii="Times New Roman" w:hAnsi="Times New Roman"/>
                <w:szCs w:val="22"/>
                <w:highlight w:val="yellow"/>
              </w:rPr>
            </w:pPr>
            <w:r w:rsidRPr="00D32C07">
              <w:rPr>
                <w:rFonts w:ascii="Times New Roman" w:hAnsi="Times New Roman"/>
                <w:szCs w:val="22"/>
                <w:highlight w:val="yellow"/>
              </w:rPr>
              <w:t>riqualificazione e potenziamento delle competenze</w:t>
            </w:r>
          </w:p>
          <w:p w14:paraId="16AC84D0" w14:textId="545799C7" w:rsidR="00263605" w:rsidRPr="00D32C07" w:rsidRDefault="005004E3" w:rsidP="00DB76B9">
            <w:pPr>
              <w:pStyle w:val="Paragrafoelenco"/>
              <w:numPr>
                <w:ilvl w:val="2"/>
                <w:numId w:val="9"/>
              </w:numPr>
              <w:ind w:left="1414"/>
              <w:jc w:val="both"/>
              <w:rPr>
                <w:rFonts w:ascii="Times New Roman" w:hAnsi="Times New Roman"/>
                <w:szCs w:val="22"/>
                <w:highlight w:val="yellow"/>
              </w:rPr>
            </w:pPr>
            <w:r w:rsidRPr="00D32C07">
              <w:rPr>
                <w:rFonts w:ascii="Times New Roman" w:hAnsi="Times New Roman"/>
                <w:szCs w:val="22"/>
                <w:highlight w:val="yellow"/>
              </w:rPr>
              <w:lastRenderedPageBreak/>
              <w:t>livello di istruzione e specializzazione dei dipendenti</w:t>
            </w:r>
          </w:p>
          <w:p w14:paraId="68476EDC" w14:textId="7C0745CC" w:rsidR="00BD3813" w:rsidRPr="00C56DF8" w:rsidRDefault="00BD3813" w:rsidP="00E834C0">
            <w:pPr>
              <w:ind w:left="720"/>
              <w:jc w:val="both"/>
              <w:rPr>
                <w:rFonts w:ascii="Times New Roman" w:hAnsi="Times New Roman"/>
                <w:szCs w:val="22"/>
              </w:rPr>
            </w:pPr>
          </w:p>
        </w:tc>
      </w:tr>
    </w:tbl>
    <w:p w14:paraId="7368590B" w14:textId="77777777" w:rsidR="00BB1D80" w:rsidRPr="00C56DF8" w:rsidRDefault="00BB1D80" w:rsidP="001057F8">
      <w:pPr>
        <w:jc w:val="both"/>
        <w:rPr>
          <w:rFonts w:ascii="Times New Roman" w:hAnsi="Times New Roman"/>
          <w:sz w:val="28"/>
          <w:szCs w:val="24"/>
        </w:rPr>
      </w:pPr>
    </w:p>
    <w:sectPr w:rsidR="00BB1D80" w:rsidRPr="00C56DF8" w:rsidSect="00BB1D80">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71"/>
    <w:multiLevelType w:val="hybridMultilevel"/>
    <w:tmpl w:val="CD8E6276"/>
    <w:lvl w:ilvl="0" w:tplc="75AE1AA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3E81254"/>
    <w:multiLevelType w:val="hybridMultilevel"/>
    <w:tmpl w:val="1D500744"/>
    <w:lvl w:ilvl="0" w:tplc="A162B3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38679C"/>
    <w:multiLevelType w:val="hybridMultilevel"/>
    <w:tmpl w:val="4212118E"/>
    <w:lvl w:ilvl="0" w:tplc="E30E424E">
      <w:start w:val="14"/>
      <w:numFmt w:val="bullet"/>
      <w:lvlText w:val="-"/>
      <w:lvlJc w:val="left"/>
      <w:pPr>
        <w:ind w:left="1440" w:hanging="360"/>
      </w:pPr>
      <w:rPr>
        <w:rFonts w:ascii="Arial" w:eastAsia="Times New Roman" w:hAnsi="Arial" w:cs="Arial" w:hint="default"/>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E4D5839"/>
    <w:multiLevelType w:val="hybridMultilevel"/>
    <w:tmpl w:val="9F0AC0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1146174"/>
    <w:multiLevelType w:val="hybridMultilevel"/>
    <w:tmpl w:val="480A0A28"/>
    <w:lvl w:ilvl="0" w:tplc="E3B2B4A2">
      <w:start w:val="1"/>
      <w:numFmt w:val="decimal"/>
      <w:lvlText w:val="%1."/>
      <w:lvlJc w:val="left"/>
      <w:pPr>
        <w:ind w:left="720" w:hanging="360"/>
      </w:pPr>
      <w:rPr>
        <w:rFonts w:ascii="Arial" w:hAnsi="Arial" w:cs="Arial" w:hint="default"/>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53546BF"/>
    <w:multiLevelType w:val="hybridMultilevel"/>
    <w:tmpl w:val="93EA005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D487C63"/>
    <w:multiLevelType w:val="hybridMultilevel"/>
    <w:tmpl w:val="D55E2C0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B0491A"/>
    <w:multiLevelType w:val="hybridMultilevel"/>
    <w:tmpl w:val="5A44343E"/>
    <w:lvl w:ilvl="0" w:tplc="6158FA92">
      <w:start w:val="2"/>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2E7C1908"/>
    <w:multiLevelType w:val="hybridMultilevel"/>
    <w:tmpl w:val="D56AE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EC1733"/>
    <w:multiLevelType w:val="hybridMultilevel"/>
    <w:tmpl w:val="7AE4F5CE"/>
    <w:lvl w:ilvl="0" w:tplc="BE5C5BD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553BDB"/>
    <w:multiLevelType w:val="hybridMultilevel"/>
    <w:tmpl w:val="FC6093DE"/>
    <w:lvl w:ilvl="0" w:tplc="AB624452">
      <w:start w:val="14"/>
      <w:numFmt w:val="bullet"/>
      <w:lvlText w:val="-"/>
      <w:lvlJc w:val="left"/>
      <w:pPr>
        <w:ind w:left="2880" w:hanging="360"/>
      </w:pPr>
      <w:rPr>
        <w:rFonts w:ascii="Arial" w:eastAsia="Times New Roman" w:hAnsi="Arial" w:cs="Arial" w:hint="default"/>
        <w:color w:val="FF0000"/>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B384F1C"/>
    <w:multiLevelType w:val="hybridMultilevel"/>
    <w:tmpl w:val="9CE69D92"/>
    <w:lvl w:ilvl="0" w:tplc="03402A1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192456"/>
    <w:multiLevelType w:val="hybridMultilevel"/>
    <w:tmpl w:val="511AA1CC"/>
    <w:lvl w:ilvl="0" w:tplc="34224AD0">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8A6296"/>
    <w:multiLevelType w:val="hybridMultilevel"/>
    <w:tmpl w:val="64708B70"/>
    <w:lvl w:ilvl="0" w:tplc="CFA0BFA6">
      <w:start w:val="1"/>
      <w:numFmt w:val="bullet"/>
      <w:lvlText w:val="-"/>
      <w:lvlJc w:val="left"/>
      <w:pPr>
        <w:ind w:left="1080" w:hanging="360"/>
      </w:pPr>
      <w:rPr>
        <w:rFonts w:ascii="Arial" w:eastAsia="Times New Roman" w:hAnsi="Arial" w:cs="Arial" w:hint="default"/>
        <w:b w:val="0"/>
        <w:bCs/>
        <w:color w:val="auto"/>
        <w:sz w:val="18"/>
        <w:szCs w:val="18"/>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225842466">
    <w:abstractNumId w:val="11"/>
  </w:num>
  <w:num w:numId="2" w16cid:durableId="1518732354">
    <w:abstractNumId w:val="9"/>
  </w:num>
  <w:num w:numId="3" w16cid:durableId="20021510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613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469217">
    <w:abstractNumId w:val="13"/>
  </w:num>
  <w:num w:numId="6" w16cid:durableId="1522284110">
    <w:abstractNumId w:val="13"/>
  </w:num>
  <w:num w:numId="7" w16cid:durableId="625770107">
    <w:abstractNumId w:val="1"/>
  </w:num>
  <w:num w:numId="8" w16cid:durableId="1655258197">
    <w:abstractNumId w:val="2"/>
  </w:num>
  <w:num w:numId="9" w16cid:durableId="1608389150">
    <w:abstractNumId w:val="10"/>
  </w:num>
  <w:num w:numId="10" w16cid:durableId="1922056071">
    <w:abstractNumId w:val="8"/>
  </w:num>
  <w:num w:numId="11" w16cid:durableId="1711615314">
    <w:abstractNumId w:val="5"/>
  </w:num>
  <w:num w:numId="12" w16cid:durableId="29569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4266679">
    <w:abstractNumId w:val="3"/>
  </w:num>
  <w:num w:numId="14" w16cid:durableId="15001908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606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80"/>
    <w:rsid w:val="000030E2"/>
    <w:rsid w:val="00006D44"/>
    <w:rsid w:val="00022AAD"/>
    <w:rsid w:val="00033A04"/>
    <w:rsid w:val="00042DED"/>
    <w:rsid w:val="00050833"/>
    <w:rsid w:val="000815FB"/>
    <w:rsid w:val="00082470"/>
    <w:rsid w:val="00085B9E"/>
    <w:rsid w:val="00085E6C"/>
    <w:rsid w:val="000929D5"/>
    <w:rsid w:val="00096357"/>
    <w:rsid w:val="000A4F18"/>
    <w:rsid w:val="000A6D85"/>
    <w:rsid w:val="000B2A6D"/>
    <w:rsid w:val="000B3B81"/>
    <w:rsid w:val="000C03C2"/>
    <w:rsid w:val="000C09B7"/>
    <w:rsid w:val="000C6F73"/>
    <w:rsid w:val="000C77E6"/>
    <w:rsid w:val="000E0D5C"/>
    <w:rsid w:val="000E67EC"/>
    <w:rsid w:val="000F2503"/>
    <w:rsid w:val="00102771"/>
    <w:rsid w:val="001057F8"/>
    <w:rsid w:val="001256A1"/>
    <w:rsid w:val="00126078"/>
    <w:rsid w:val="00127148"/>
    <w:rsid w:val="00131C42"/>
    <w:rsid w:val="00150260"/>
    <w:rsid w:val="00152C27"/>
    <w:rsid w:val="00152CB7"/>
    <w:rsid w:val="00162F89"/>
    <w:rsid w:val="0016374B"/>
    <w:rsid w:val="0016503D"/>
    <w:rsid w:val="00167329"/>
    <w:rsid w:val="00171AA2"/>
    <w:rsid w:val="00176E37"/>
    <w:rsid w:val="00177BD3"/>
    <w:rsid w:val="00182A57"/>
    <w:rsid w:val="00186844"/>
    <w:rsid w:val="00191740"/>
    <w:rsid w:val="001B51CB"/>
    <w:rsid w:val="001B5509"/>
    <w:rsid w:val="001B56B7"/>
    <w:rsid w:val="001B6018"/>
    <w:rsid w:val="001B7075"/>
    <w:rsid w:val="001C0FFF"/>
    <w:rsid w:val="001D5DF4"/>
    <w:rsid w:val="001E02C4"/>
    <w:rsid w:val="001E5DD8"/>
    <w:rsid w:val="001F28F3"/>
    <w:rsid w:val="001F556E"/>
    <w:rsid w:val="00217A9E"/>
    <w:rsid w:val="002216FF"/>
    <w:rsid w:val="00221DD2"/>
    <w:rsid w:val="00222F02"/>
    <w:rsid w:val="0023042A"/>
    <w:rsid w:val="00232914"/>
    <w:rsid w:val="002500D0"/>
    <w:rsid w:val="00262199"/>
    <w:rsid w:val="00263605"/>
    <w:rsid w:val="0026513B"/>
    <w:rsid w:val="0026683C"/>
    <w:rsid w:val="002847E8"/>
    <w:rsid w:val="002C09D0"/>
    <w:rsid w:val="002C4A81"/>
    <w:rsid w:val="002C55B5"/>
    <w:rsid w:val="0032026C"/>
    <w:rsid w:val="00351ED8"/>
    <w:rsid w:val="00353EEB"/>
    <w:rsid w:val="00364DD8"/>
    <w:rsid w:val="00365164"/>
    <w:rsid w:val="00382903"/>
    <w:rsid w:val="00390D60"/>
    <w:rsid w:val="003C2C55"/>
    <w:rsid w:val="003D6249"/>
    <w:rsid w:val="003E4BB2"/>
    <w:rsid w:val="003F5F71"/>
    <w:rsid w:val="003F6AA2"/>
    <w:rsid w:val="0040303A"/>
    <w:rsid w:val="0040477F"/>
    <w:rsid w:val="004101F5"/>
    <w:rsid w:val="004110D2"/>
    <w:rsid w:val="00412F30"/>
    <w:rsid w:val="00424A6B"/>
    <w:rsid w:val="00425101"/>
    <w:rsid w:val="00427952"/>
    <w:rsid w:val="004345BC"/>
    <w:rsid w:val="004353C0"/>
    <w:rsid w:val="004653DC"/>
    <w:rsid w:val="00480C0C"/>
    <w:rsid w:val="00491914"/>
    <w:rsid w:val="004A1933"/>
    <w:rsid w:val="004B27F1"/>
    <w:rsid w:val="004B7E02"/>
    <w:rsid w:val="004C27DE"/>
    <w:rsid w:val="004D0882"/>
    <w:rsid w:val="004F1BE3"/>
    <w:rsid w:val="004F4416"/>
    <w:rsid w:val="004F58A6"/>
    <w:rsid w:val="004F6807"/>
    <w:rsid w:val="005004E3"/>
    <w:rsid w:val="0051204F"/>
    <w:rsid w:val="00517935"/>
    <w:rsid w:val="00525FE4"/>
    <w:rsid w:val="00532066"/>
    <w:rsid w:val="00532907"/>
    <w:rsid w:val="00541BE9"/>
    <w:rsid w:val="00545CC1"/>
    <w:rsid w:val="00555E67"/>
    <w:rsid w:val="005631D1"/>
    <w:rsid w:val="00582767"/>
    <w:rsid w:val="00595DF0"/>
    <w:rsid w:val="005A5ACF"/>
    <w:rsid w:val="005B1BA1"/>
    <w:rsid w:val="005C3612"/>
    <w:rsid w:val="005C3E9D"/>
    <w:rsid w:val="005D174F"/>
    <w:rsid w:val="005D22A7"/>
    <w:rsid w:val="005E0082"/>
    <w:rsid w:val="005E053D"/>
    <w:rsid w:val="00615A96"/>
    <w:rsid w:val="00644142"/>
    <w:rsid w:val="0064623F"/>
    <w:rsid w:val="00653FAD"/>
    <w:rsid w:val="0065522A"/>
    <w:rsid w:val="00656BA4"/>
    <w:rsid w:val="00656BA5"/>
    <w:rsid w:val="00657259"/>
    <w:rsid w:val="0066367F"/>
    <w:rsid w:val="00675890"/>
    <w:rsid w:val="00676F00"/>
    <w:rsid w:val="0068620E"/>
    <w:rsid w:val="0068678B"/>
    <w:rsid w:val="00690A2E"/>
    <w:rsid w:val="00694053"/>
    <w:rsid w:val="006A7403"/>
    <w:rsid w:val="006B04A6"/>
    <w:rsid w:val="006B5E78"/>
    <w:rsid w:val="006C3FE9"/>
    <w:rsid w:val="006C4E11"/>
    <w:rsid w:val="006C7C23"/>
    <w:rsid w:val="006D1A80"/>
    <w:rsid w:val="00700C68"/>
    <w:rsid w:val="00727DB2"/>
    <w:rsid w:val="00740800"/>
    <w:rsid w:val="007408F7"/>
    <w:rsid w:val="007438CC"/>
    <w:rsid w:val="0076175D"/>
    <w:rsid w:val="00765EFF"/>
    <w:rsid w:val="00795C3A"/>
    <w:rsid w:val="00795F4F"/>
    <w:rsid w:val="007A5D77"/>
    <w:rsid w:val="007B057A"/>
    <w:rsid w:val="007B5B0E"/>
    <w:rsid w:val="007C2E45"/>
    <w:rsid w:val="007C42E6"/>
    <w:rsid w:val="007D72FD"/>
    <w:rsid w:val="007E13CF"/>
    <w:rsid w:val="007F4D84"/>
    <w:rsid w:val="0080138F"/>
    <w:rsid w:val="008017AC"/>
    <w:rsid w:val="00805EF7"/>
    <w:rsid w:val="008071B6"/>
    <w:rsid w:val="008074C7"/>
    <w:rsid w:val="00822403"/>
    <w:rsid w:val="00823308"/>
    <w:rsid w:val="00832CE7"/>
    <w:rsid w:val="00844863"/>
    <w:rsid w:val="00883C8A"/>
    <w:rsid w:val="00885757"/>
    <w:rsid w:val="00887BA4"/>
    <w:rsid w:val="00891CB6"/>
    <w:rsid w:val="0089317A"/>
    <w:rsid w:val="00897C50"/>
    <w:rsid w:val="008B2E84"/>
    <w:rsid w:val="008B4E94"/>
    <w:rsid w:val="008C26B4"/>
    <w:rsid w:val="008D30D1"/>
    <w:rsid w:val="008D51CA"/>
    <w:rsid w:val="008E26F7"/>
    <w:rsid w:val="008F506F"/>
    <w:rsid w:val="00906540"/>
    <w:rsid w:val="00907AFA"/>
    <w:rsid w:val="00911EE5"/>
    <w:rsid w:val="00916B6A"/>
    <w:rsid w:val="009216B2"/>
    <w:rsid w:val="00934601"/>
    <w:rsid w:val="0095058F"/>
    <w:rsid w:val="00952827"/>
    <w:rsid w:val="009546B2"/>
    <w:rsid w:val="009604A9"/>
    <w:rsid w:val="009832B8"/>
    <w:rsid w:val="00984527"/>
    <w:rsid w:val="00992A7B"/>
    <w:rsid w:val="00993DE7"/>
    <w:rsid w:val="009A296A"/>
    <w:rsid w:val="009B0745"/>
    <w:rsid w:val="009C0220"/>
    <w:rsid w:val="009D1034"/>
    <w:rsid w:val="009E5335"/>
    <w:rsid w:val="009F5B12"/>
    <w:rsid w:val="00A0197F"/>
    <w:rsid w:val="00A0685D"/>
    <w:rsid w:val="00A12BAE"/>
    <w:rsid w:val="00A424D4"/>
    <w:rsid w:val="00A573C7"/>
    <w:rsid w:val="00A76F4E"/>
    <w:rsid w:val="00A81538"/>
    <w:rsid w:val="00A942BB"/>
    <w:rsid w:val="00AC2E11"/>
    <w:rsid w:val="00AC7923"/>
    <w:rsid w:val="00AD109A"/>
    <w:rsid w:val="00AD125B"/>
    <w:rsid w:val="00AD2EAC"/>
    <w:rsid w:val="00AD3826"/>
    <w:rsid w:val="00AE74DD"/>
    <w:rsid w:val="00AF458F"/>
    <w:rsid w:val="00B0065D"/>
    <w:rsid w:val="00B0380D"/>
    <w:rsid w:val="00B144D2"/>
    <w:rsid w:val="00B209F8"/>
    <w:rsid w:val="00B23AF5"/>
    <w:rsid w:val="00B31229"/>
    <w:rsid w:val="00B335DA"/>
    <w:rsid w:val="00B33C32"/>
    <w:rsid w:val="00B34CFE"/>
    <w:rsid w:val="00B46384"/>
    <w:rsid w:val="00B571BF"/>
    <w:rsid w:val="00B65A38"/>
    <w:rsid w:val="00B67B66"/>
    <w:rsid w:val="00B67D5C"/>
    <w:rsid w:val="00B7199B"/>
    <w:rsid w:val="00B779EE"/>
    <w:rsid w:val="00B90074"/>
    <w:rsid w:val="00B96BFA"/>
    <w:rsid w:val="00B96E26"/>
    <w:rsid w:val="00BA323E"/>
    <w:rsid w:val="00BA7C67"/>
    <w:rsid w:val="00BB1D80"/>
    <w:rsid w:val="00BB7BAB"/>
    <w:rsid w:val="00BC0BEC"/>
    <w:rsid w:val="00BC1DE1"/>
    <w:rsid w:val="00BD1A0C"/>
    <w:rsid w:val="00BD3813"/>
    <w:rsid w:val="00BD41DF"/>
    <w:rsid w:val="00BE5497"/>
    <w:rsid w:val="00BE60A9"/>
    <w:rsid w:val="00BF533C"/>
    <w:rsid w:val="00C04172"/>
    <w:rsid w:val="00C048FE"/>
    <w:rsid w:val="00C17BC6"/>
    <w:rsid w:val="00C23576"/>
    <w:rsid w:val="00C30DAA"/>
    <w:rsid w:val="00C56DF8"/>
    <w:rsid w:val="00C611EE"/>
    <w:rsid w:val="00C62EA5"/>
    <w:rsid w:val="00C63320"/>
    <w:rsid w:val="00C6416E"/>
    <w:rsid w:val="00CA2EFA"/>
    <w:rsid w:val="00CA7B68"/>
    <w:rsid w:val="00CB3122"/>
    <w:rsid w:val="00CB6F10"/>
    <w:rsid w:val="00CD7A7A"/>
    <w:rsid w:val="00CE3B89"/>
    <w:rsid w:val="00CF1812"/>
    <w:rsid w:val="00CF23A6"/>
    <w:rsid w:val="00CF2507"/>
    <w:rsid w:val="00CF3244"/>
    <w:rsid w:val="00D00604"/>
    <w:rsid w:val="00D01425"/>
    <w:rsid w:val="00D01A3D"/>
    <w:rsid w:val="00D04692"/>
    <w:rsid w:val="00D056B3"/>
    <w:rsid w:val="00D07F86"/>
    <w:rsid w:val="00D10D3F"/>
    <w:rsid w:val="00D129B4"/>
    <w:rsid w:val="00D15152"/>
    <w:rsid w:val="00D22181"/>
    <w:rsid w:val="00D32C07"/>
    <w:rsid w:val="00D45BDF"/>
    <w:rsid w:val="00D513F5"/>
    <w:rsid w:val="00D569B4"/>
    <w:rsid w:val="00D6010E"/>
    <w:rsid w:val="00D6788E"/>
    <w:rsid w:val="00D678C7"/>
    <w:rsid w:val="00D7185B"/>
    <w:rsid w:val="00D7203D"/>
    <w:rsid w:val="00D7395A"/>
    <w:rsid w:val="00D73FD2"/>
    <w:rsid w:val="00D74292"/>
    <w:rsid w:val="00D753CC"/>
    <w:rsid w:val="00D77449"/>
    <w:rsid w:val="00D84123"/>
    <w:rsid w:val="00D92479"/>
    <w:rsid w:val="00D95021"/>
    <w:rsid w:val="00D970FC"/>
    <w:rsid w:val="00D979A6"/>
    <w:rsid w:val="00DB4FAF"/>
    <w:rsid w:val="00DB76B9"/>
    <w:rsid w:val="00DC0728"/>
    <w:rsid w:val="00DD55E7"/>
    <w:rsid w:val="00DF060D"/>
    <w:rsid w:val="00DF7749"/>
    <w:rsid w:val="00E136BE"/>
    <w:rsid w:val="00E22A94"/>
    <w:rsid w:val="00E236FA"/>
    <w:rsid w:val="00E32592"/>
    <w:rsid w:val="00E40B25"/>
    <w:rsid w:val="00E4611D"/>
    <w:rsid w:val="00E53870"/>
    <w:rsid w:val="00E6274C"/>
    <w:rsid w:val="00E71437"/>
    <w:rsid w:val="00E726FF"/>
    <w:rsid w:val="00E834C0"/>
    <w:rsid w:val="00EA1CC9"/>
    <w:rsid w:val="00EA4359"/>
    <w:rsid w:val="00EB34D6"/>
    <w:rsid w:val="00EC0509"/>
    <w:rsid w:val="00EC1E9B"/>
    <w:rsid w:val="00EC3287"/>
    <w:rsid w:val="00ED26E2"/>
    <w:rsid w:val="00EE3E3A"/>
    <w:rsid w:val="00EE56AE"/>
    <w:rsid w:val="00EE6A4E"/>
    <w:rsid w:val="00EF3BB3"/>
    <w:rsid w:val="00EF5F74"/>
    <w:rsid w:val="00F12F46"/>
    <w:rsid w:val="00F25264"/>
    <w:rsid w:val="00F51912"/>
    <w:rsid w:val="00F51FCC"/>
    <w:rsid w:val="00F7364C"/>
    <w:rsid w:val="00F73DC1"/>
    <w:rsid w:val="00F87C6B"/>
    <w:rsid w:val="00F9272C"/>
    <w:rsid w:val="00FB2B81"/>
    <w:rsid w:val="00FB4CFC"/>
    <w:rsid w:val="00FC3813"/>
    <w:rsid w:val="00FC524B"/>
    <w:rsid w:val="00FD3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13DD"/>
  <w15:chartTrackingRefBased/>
  <w15:docId w15:val="{AC7C1175-5497-4969-82F0-36AC1C71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56A1"/>
    <w:rPr>
      <w:rFonts w:ascii="Arial" w:hAnsi="Arial"/>
      <w:sz w:val="22"/>
      <w:lang w:eastAsia="it-IT"/>
    </w:rPr>
  </w:style>
  <w:style w:type="paragraph" w:styleId="Titolo1">
    <w:name w:val="heading 1"/>
    <w:basedOn w:val="Normale"/>
    <w:next w:val="Normale"/>
    <w:link w:val="Titolo1Carattere"/>
    <w:qFormat/>
    <w:rsid w:val="001256A1"/>
    <w:pPr>
      <w:keepNext/>
      <w:jc w:val="center"/>
      <w:outlineLvl w:val="0"/>
    </w:pPr>
    <w:rPr>
      <w:b/>
    </w:rPr>
  </w:style>
  <w:style w:type="paragraph" w:styleId="Titolo3">
    <w:name w:val="heading 3"/>
    <w:basedOn w:val="Normale"/>
    <w:next w:val="Normale"/>
    <w:link w:val="Titolo3Carattere"/>
    <w:semiHidden/>
    <w:unhideWhenUsed/>
    <w:qFormat/>
    <w:rsid w:val="001256A1"/>
    <w:pPr>
      <w:keepNext/>
      <w:spacing w:before="240" w:after="60"/>
      <w:outlineLvl w:val="2"/>
    </w:pPr>
    <w:rPr>
      <w:rFonts w:ascii="Calibri Light" w:hAnsi="Calibri Light"/>
      <w:b/>
      <w:bCs/>
      <w:sz w:val="26"/>
      <w:szCs w:val="26"/>
    </w:rPr>
  </w:style>
  <w:style w:type="paragraph" w:styleId="Titolo7">
    <w:name w:val="heading 7"/>
    <w:basedOn w:val="Normale"/>
    <w:next w:val="Normale"/>
    <w:link w:val="Titolo7Carattere"/>
    <w:qFormat/>
    <w:rsid w:val="001256A1"/>
    <w:pPr>
      <w:keepNext/>
      <w:jc w:val="both"/>
      <w:outlineLvl w:val="6"/>
    </w:pPr>
    <w:rPr>
      <w:b/>
      <w:sz w:val="32"/>
    </w:rPr>
  </w:style>
  <w:style w:type="paragraph" w:styleId="Titolo9">
    <w:name w:val="heading 9"/>
    <w:basedOn w:val="Normale"/>
    <w:next w:val="Normale"/>
    <w:link w:val="Titolo9Carattere"/>
    <w:qFormat/>
    <w:rsid w:val="001256A1"/>
    <w:pPr>
      <w:keepNext/>
      <w:ind w:left="360"/>
      <w:jc w:val="righ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256A1"/>
    <w:rPr>
      <w:rFonts w:ascii="Arial" w:hAnsi="Arial"/>
      <w:b/>
      <w:sz w:val="22"/>
      <w:lang w:eastAsia="it-IT"/>
    </w:rPr>
  </w:style>
  <w:style w:type="character" w:customStyle="1" w:styleId="Titolo3Carattere">
    <w:name w:val="Titolo 3 Carattere"/>
    <w:link w:val="Titolo3"/>
    <w:semiHidden/>
    <w:rsid w:val="001256A1"/>
    <w:rPr>
      <w:rFonts w:ascii="Calibri Light" w:hAnsi="Calibri Light"/>
      <w:b/>
      <w:bCs/>
      <w:sz w:val="26"/>
      <w:szCs w:val="26"/>
      <w:lang w:eastAsia="it-IT"/>
    </w:rPr>
  </w:style>
  <w:style w:type="character" w:customStyle="1" w:styleId="Titolo7Carattere">
    <w:name w:val="Titolo 7 Carattere"/>
    <w:basedOn w:val="Carpredefinitoparagrafo"/>
    <w:link w:val="Titolo7"/>
    <w:rsid w:val="001256A1"/>
    <w:rPr>
      <w:rFonts w:ascii="Arial" w:hAnsi="Arial"/>
      <w:b/>
      <w:sz w:val="32"/>
      <w:lang w:eastAsia="it-IT"/>
    </w:rPr>
  </w:style>
  <w:style w:type="character" w:customStyle="1" w:styleId="Titolo9Carattere">
    <w:name w:val="Titolo 9 Carattere"/>
    <w:basedOn w:val="Carpredefinitoparagrafo"/>
    <w:link w:val="Titolo9"/>
    <w:rsid w:val="001256A1"/>
    <w:rPr>
      <w:rFonts w:ascii="Arial" w:hAnsi="Arial"/>
      <w:b/>
      <w:sz w:val="24"/>
      <w:lang w:eastAsia="it-IT"/>
    </w:rPr>
  </w:style>
  <w:style w:type="character" w:styleId="Enfasigrassetto">
    <w:name w:val="Strong"/>
    <w:uiPriority w:val="22"/>
    <w:qFormat/>
    <w:rsid w:val="001256A1"/>
    <w:rPr>
      <w:b/>
      <w:bCs/>
    </w:rPr>
  </w:style>
  <w:style w:type="table" w:styleId="Grigliatabella">
    <w:name w:val="Table Grid"/>
    <w:basedOn w:val="Tabellanormale"/>
    <w:uiPriority w:val="39"/>
    <w:rsid w:val="00BB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72"/>
    <w:qFormat/>
    <w:rsid w:val="000C09B7"/>
    <w:pPr>
      <w:ind w:left="720"/>
      <w:contextualSpacing/>
    </w:pPr>
  </w:style>
  <w:style w:type="character" w:styleId="Collegamentoipertestuale">
    <w:name w:val="Hyperlink"/>
    <w:basedOn w:val="Carpredefinitoparagrafo"/>
    <w:uiPriority w:val="99"/>
    <w:unhideWhenUsed/>
    <w:rsid w:val="00351ED8"/>
    <w:rPr>
      <w:color w:val="0563C1" w:themeColor="hyperlink"/>
      <w:u w:val="single"/>
    </w:rPr>
  </w:style>
  <w:style w:type="character" w:styleId="Menzionenonrisolta">
    <w:name w:val="Unresolved Mention"/>
    <w:basedOn w:val="Carpredefinitoparagrafo"/>
    <w:uiPriority w:val="99"/>
    <w:semiHidden/>
    <w:unhideWhenUsed/>
    <w:rsid w:val="00351ED8"/>
    <w:rPr>
      <w:color w:val="605E5C"/>
      <w:shd w:val="clear" w:color="auto" w:fill="E1DFDD"/>
    </w:rPr>
  </w:style>
  <w:style w:type="character" w:styleId="Enfasicorsivo">
    <w:name w:val="Emphasis"/>
    <w:uiPriority w:val="20"/>
    <w:qFormat/>
    <w:rsid w:val="00AD2EAC"/>
    <w:rPr>
      <w:i/>
      <w:iCs/>
    </w:rPr>
  </w:style>
  <w:style w:type="paragraph" w:styleId="Rientrocorpodeltesto">
    <w:name w:val="Body Text Indent"/>
    <w:basedOn w:val="Normale"/>
    <w:link w:val="RientrocorpodeltestoCarattere"/>
    <w:uiPriority w:val="99"/>
    <w:unhideWhenUsed/>
    <w:rsid w:val="00B67B66"/>
    <w:pPr>
      <w:spacing w:after="120"/>
      <w:ind w:left="283"/>
    </w:pPr>
    <w:rPr>
      <w:rFonts w:ascii="Times New Roman" w:hAnsi="Times New Roman"/>
      <w:sz w:val="20"/>
    </w:rPr>
  </w:style>
  <w:style w:type="character" w:customStyle="1" w:styleId="RientrocorpodeltestoCarattere">
    <w:name w:val="Rientro corpo del testo Carattere"/>
    <w:basedOn w:val="Carpredefinitoparagrafo"/>
    <w:link w:val="Rientrocorpodeltesto"/>
    <w:uiPriority w:val="99"/>
    <w:rsid w:val="00B67B66"/>
    <w:rPr>
      <w:lang w:eastAsia="it-IT"/>
    </w:rPr>
  </w:style>
  <w:style w:type="paragraph" w:styleId="Testofumetto">
    <w:name w:val="Balloon Text"/>
    <w:basedOn w:val="Normale"/>
    <w:link w:val="TestofumettoCarattere"/>
    <w:uiPriority w:val="99"/>
    <w:semiHidden/>
    <w:unhideWhenUsed/>
    <w:rsid w:val="00217A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7A9E"/>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4646">
      <w:bodyDiv w:val="1"/>
      <w:marLeft w:val="0"/>
      <w:marRight w:val="0"/>
      <w:marTop w:val="0"/>
      <w:marBottom w:val="0"/>
      <w:divBdr>
        <w:top w:val="none" w:sz="0" w:space="0" w:color="auto"/>
        <w:left w:val="none" w:sz="0" w:space="0" w:color="auto"/>
        <w:bottom w:val="none" w:sz="0" w:space="0" w:color="auto"/>
        <w:right w:val="none" w:sz="0" w:space="0" w:color="auto"/>
      </w:divBdr>
    </w:div>
    <w:div w:id="294064789">
      <w:bodyDiv w:val="1"/>
      <w:marLeft w:val="0"/>
      <w:marRight w:val="0"/>
      <w:marTop w:val="0"/>
      <w:marBottom w:val="0"/>
      <w:divBdr>
        <w:top w:val="none" w:sz="0" w:space="0" w:color="auto"/>
        <w:left w:val="none" w:sz="0" w:space="0" w:color="auto"/>
        <w:bottom w:val="none" w:sz="0" w:space="0" w:color="auto"/>
        <w:right w:val="none" w:sz="0" w:space="0" w:color="auto"/>
      </w:divBdr>
    </w:div>
    <w:div w:id="343291308">
      <w:bodyDiv w:val="1"/>
      <w:marLeft w:val="0"/>
      <w:marRight w:val="0"/>
      <w:marTop w:val="0"/>
      <w:marBottom w:val="0"/>
      <w:divBdr>
        <w:top w:val="none" w:sz="0" w:space="0" w:color="auto"/>
        <w:left w:val="none" w:sz="0" w:space="0" w:color="auto"/>
        <w:bottom w:val="none" w:sz="0" w:space="0" w:color="auto"/>
        <w:right w:val="none" w:sz="0" w:space="0" w:color="auto"/>
      </w:divBdr>
    </w:div>
    <w:div w:id="472450231">
      <w:bodyDiv w:val="1"/>
      <w:marLeft w:val="0"/>
      <w:marRight w:val="0"/>
      <w:marTop w:val="0"/>
      <w:marBottom w:val="0"/>
      <w:divBdr>
        <w:top w:val="none" w:sz="0" w:space="0" w:color="auto"/>
        <w:left w:val="none" w:sz="0" w:space="0" w:color="auto"/>
        <w:bottom w:val="none" w:sz="0" w:space="0" w:color="auto"/>
        <w:right w:val="none" w:sz="0" w:space="0" w:color="auto"/>
      </w:divBdr>
    </w:div>
    <w:div w:id="486826585">
      <w:bodyDiv w:val="1"/>
      <w:marLeft w:val="0"/>
      <w:marRight w:val="0"/>
      <w:marTop w:val="0"/>
      <w:marBottom w:val="0"/>
      <w:divBdr>
        <w:top w:val="none" w:sz="0" w:space="0" w:color="auto"/>
        <w:left w:val="none" w:sz="0" w:space="0" w:color="auto"/>
        <w:bottom w:val="none" w:sz="0" w:space="0" w:color="auto"/>
        <w:right w:val="none" w:sz="0" w:space="0" w:color="auto"/>
      </w:divBdr>
    </w:div>
    <w:div w:id="1058437714">
      <w:bodyDiv w:val="1"/>
      <w:marLeft w:val="0"/>
      <w:marRight w:val="0"/>
      <w:marTop w:val="0"/>
      <w:marBottom w:val="0"/>
      <w:divBdr>
        <w:top w:val="none" w:sz="0" w:space="0" w:color="auto"/>
        <w:left w:val="none" w:sz="0" w:space="0" w:color="auto"/>
        <w:bottom w:val="none" w:sz="0" w:space="0" w:color="auto"/>
        <w:right w:val="none" w:sz="0" w:space="0" w:color="auto"/>
      </w:divBdr>
    </w:div>
    <w:div w:id="1175346176">
      <w:bodyDiv w:val="1"/>
      <w:marLeft w:val="0"/>
      <w:marRight w:val="0"/>
      <w:marTop w:val="0"/>
      <w:marBottom w:val="0"/>
      <w:divBdr>
        <w:top w:val="none" w:sz="0" w:space="0" w:color="auto"/>
        <w:left w:val="none" w:sz="0" w:space="0" w:color="auto"/>
        <w:bottom w:val="none" w:sz="0" w:space="0" w:color="auto"/>
        <w:right w:val="none" w:sz="0" w:space="0" w:color="auto"/>
      </w:divBdr>
    </w:div>
    <w:div w:id="1242714984">
      <w:bodyDiv w:val="1"/>
      <w:marLeft w:val="0"/>
      <w:marRight w:val="0"/>
      <w:marTop w:val="0"/>
      <w:marBottom w:val="0"/>
      <w:divBdr>
        <w:top w:val="none" w:sz="0" w:space="0" w:color="auto"/>
        <w:left w:val="none" w:sz="0" w:space="0" w:color="auto"/>
        <w:bottom w:val="none" w:sz="0" w:space="0" w:color="auto"/>
        <w:right w:val="none" w:sz="0" w:space="0" w:color="auto"/>
      </w:divBdr>
    </w:div>
    <w:div w:id="1479417872">
      <w:bodyDiv w:val="1"/>
      <w:marLeft w:val="0"/>
      <w:marRight w:val="0"/>
      <w:marTop w:val="0"/>
      <w:marBottom w:val="0"/>
      <w:divBdr>
        <w:top w:val="none" w:sz="0" w:space="0" w:color="auto"/>
        <w:left w:val="none" w:sz="0" w:space="0" w:color="auto"/>
        <w:bottom w:val="none" w:sz="0" w:space="0" w:color="auto"/>
        <w:right w:val="none" w:sz="0" w:space="0" w:color="auto"/>
      </w:divBdr>
    </w:div>
    <w:div w:id="1916016082">
      <w:bodyDiv w:val="1"/>
      <w:marLeft w:val="0"/>
      <w:marRight w:val="0"/>
      <w:marTop w:val="0"/>
      <w:marBottom w:val="0"/>
      <w:divBdr>
        <w:top w:val="none" w:sz="0" w:space="0" w:color="auto"/>
        <w:left w:val="none" w:sz="0" w:space="0" w:color="auto"/>
        <w:bottom w:val="none" w:sz="0" w:space="0" w:color="auto"/>
        <w:right w:val="none" w:sz="0" w:space="0" w:color="auto"/>
      </w:divBdr>
    </w:div>
    <w:div w:id="2073120522">
      <w:bodyDiv w:val="1"/>
      <w:marLeft w:val="0"/>
      <w:marRight w:val="0"/>
      <w:marTop w:val="0"/>
      <w:marBottom w:val="0"/>
      <w:divBdr>
        <w:top w:val="none" w:sz="0" w:space="0" w:color="auto"/>
        <w:left w:val="none" w:sz="0" w:space="0" w:color="auto"/>
        <w:bottom w:val="none" w:sz="0" w:space="0" w:color="auto"/>
        <w:right w:val="none" w:sz="0" w:space="0" w:color="auto"/>
      </w:divBdr>
    </w:div>
    <w:div w:id="21374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9C203-A735-499D-A737-C3B9BCF3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3537</Words>
  <Characters>20166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d'Alfonso</dc:creator>
  <cp:keywords/>
  <dc:description/>
  <cp:lastModifiedBy>Gianpaolo Ario (Dasein)</cp:lastModifiedBy>
  <cp:revision>26</cp:revision>
  <cp:lastPrinted>2023-01-25T16:04:00Z</cp:lastPrinted>
  <dcterms:created xsi:type="dcterms:W3CDTF">2023-01-27T11:29:00Z</dcterms:created>
  <dcterms:modified xsi:type="dcterms:W3CDTF">2023-05-10T08:10:00Z</dcterms:modified>
</cp:coreProperties>
</file>