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732" w:rsidRDefault="00802732" w:rsidP="00802732">
      <w:pPr>
        <w:pStyle w:val="Default"/>
        <w:pageBreakBefore/>
        <w:jc w:val="both"/>
        <w:rPr>
          <w:b/>
          <w:color w:val="auto"/>
          <w:sz w:val="22"/>
          <w:szCs w:val="22"/>
        </w:rPr>
      </w:pPr>
      <w:r>
        <w:rPr>
          <w:b/>
          <w:color w:val="auto"/>
          <w:sz w:val="22"/>
          <w:szCs w:val="22"/>
        </w:rPr>
        <w:t xml:space="preserve">G.C. n. </w:t>
      </w:r>
      <w:r w:rsidR="003F4A07">
        <w:rPr>
          <w:b/>
          <w:color w:val="auto"/>
          <w:sz w:val="22"/>
          <w:szCs w:val="22"/>
        </w:rPr>
        <w:t xml:space="preserve">  del</w:t>
      </w:r>
    </w:p>
    <w:p w:rsidR="00802732" w:rsidRDefault="00802732" w:rsidP="00802732">
      <w:pPr>
        <w:pStyle w:val="Default"/>
        <w:jc w:val="both"/>
        <w:rPr>
          <w:b/>
          <w:color w:val="auto"/>
          <w:sz w:val="22"/>
          <w:szCs w:val="22"/>
        </w:rPr>
      </w:pPr>
      <w:r>
        <w:rPr>
          <w:b/>
          <w:color w:val="auto"/>
          <w:sz w:val="22"/>
          <w:szCs w:val="22"/>
        </w:rPr>
        <w:t xml:space="preserve"> </w:t>
      </w:r>
    </w:p>
    <w:p w:rsidR="00802732" w:rsidRDefault="003F4A07" w:rsidP="00802732">
      <w:pPr>
        <w:pStyle w:val="Default"/>
        <w:jc w:val="both"/>
        <w:rPr>
          <w:b/>
          <w:color w:val="auto"/>
          <w:sz w:val="22"/>
          <w:szCs w:val="22"/>
        </w:rPr>
      </w:pPr>
      <w:r>
        <w:rPr>
          <w:b/>
          <w:color w:val="auto"/>
          <w:sz w:val="22"/>
          <w:szCs w:val="22"/>
        </w:rPr>
        <w:t>OGGETTO: APPROVAZIONE DUP 2020</w:t>
      </w:r>
      <w:r w:rsidR="00802732">
        <w:rPr>
          <w:b/>
          <w:color w:val="auto"/>
          <w:sz w:val="22"/>
          <w:szCs w:val="22"/>
        </w:rPr>
        <w:t>-202</w:t>
      </w:r>
      <w:r>
        <w:rPr>
          <w:b/>
          <w:color w:val="auto"/>
          <w:sz w:val="22"/>
          <w:szCs w:val="22"/>
        </w:rPr>
        <w:t>2</w:t>
      </w:r>
      <w:r w:rsidR="00802732">
        <w:rPr>
          <w:b/>
          <w:color w:val="auto"/>
          <w:sz w:val="22"/>
          <w:szCs w:val="22"/>
        </w:rPr>
        <w:t xml:space="preserve"> DA SOTTOPORRE AL CONSIGLIO COMUNALE. </w:t>
      </w:r>
    </w:p>
    <w:p w:rsidR="00802732" w:rsidRDefault="00802732" w:rsidP="00802732">
      <w:pPr>
        <w:pStyle w:val="Default"/>
        <w:jc w:val="both"/>
        <w:rPr>
          <w:b/>
          <w:color w:val="auto"/>
          <w:sz w:val="22"/>
          <w:szCs w:val="22"/>
        </w:rPr>
      </w:pPr>
      <w:r>
        <w:rPr>
          <w:b/>
          <w:color w:val="auto"/>
          <w:sz w:val="22"/>
          <w:szCs w:val="22"/>
        </w:rPr>
        <w:t xml:space="preserve"> </w:t>
      </w:r>
    </w:p>
    <w:p w:rsidR="00802732" w:rsidRDefault="00802732" w:rsidP="00802732">
      <w:pPr>
        <w:pStyle w:val="Default"/>
        <w:jc w:val="both"/>
        <w:rPr>
          <w:b/>
          <w:color w:val="auto"/>
          <w:sz w:val="22"/>
          <w:szCs w:val="22"/>
        </w:rPr>
      </w:pPr>
      <w:r>
        <w:rPr>
          <w:b/>
          <w:color w:val="auto"/>
          <w:sz w:val="22"/>
          <w:szCs w:val="22"/>
        </w:rPr>
        <w:t xml:space="preserve"> </w:t>
      </w:r>
    </w:p>
    <w:p w:rsidR="00802732" w:rsidRDefault="00802732" w:rsidP="00802732">
      <w:pPr>
        <w:pStyle w:val="Default"/>
        <w:jc w:val="center"/>
        <w:rPr>
          <w:b/>
          <w:color w:val="auto"/>
          <w:sz w:val="22"/>
          <w:szCs w:val="22"/>
        </w:rPr>
      </w:pPr>
      <w:r>
        <w:rPr>
          <w:b/>
          <w:color w:val="auto"/>
          <w:sz w:val="22"/>
          <w:szCs w:val="22"/>
        </w:rPr>
        <w:t>LA GIUNTA COMUNALE</w:t>
      </w:r>
    </w:p>
    <w:p w:rsidR="00802732" w:rsidRDefault="00802732" w:rsidP="00802732">
      <w:pPr>
        <w:pStyle w:val="Default"/>
        <w:jc w:val="both"/>
        <w:rPr>
          <w:b/>
          <w:color w:val="auto"/>
          <w:sz w:val="22"/>
          <w:szCs w:val="22"/>
        </w:rPr>
      </w:pPr>
      <w:r>
        <w:rPr>
          <w:b/>
          <w:color w:val="auto"/>
          <w:sz w:val="22"/>
          <w:szCs w:val="22"/>
        </w:rPr>
        <w:t xml:space="preserve"> </w:t>
      </w: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both"/>
        <w:rPr>
          <w:b/>
          <w:color w:val="auto"/>
          <w:sz w:val="22"/>
          <w:szCs w:val="22"/>
        </w:rPr>
      </w:pPr>
      <w:r>
        <w:rPr>
          <w:b/>
          <w:color w:val="auto"/>
          <w:sz w:val="22"/>
          <w:szCs w:val="22"/>
        </w:rPr>
        <w:t xml:space="preserve">PREMESSO: </w:t>
      </w:r>
    </w:p>
    <w:p w:rsidR="00802732" w:rsidRDefault="00802732" w:rsidP="00802732">
      <w:pPr>
        <w:pStyle w:val="Default"/>
        <w:jc w:val="both"/>
        <w:rPr>
          <w:color w:val="auto"/>
          <w:sz w:val="22"/>
          <w:szCs w:val="22"/>
        </w:rPr>
      </w:pPr>
      <w:r>
        <w:rPr>
          <w:color w:val="auto"/>
          <w:sz w:val="22"/>
          <w:szCs w:val="22"/>
        </w:rPr>
        <w:t xml:space="preserve">- che con D. </w:t>
      </w:r>
      <w:proofErr w:type="spellStart"/>
      <w:r>
        <w:rPr>
          <w:color w:val="auto"/>
          <w:sz w:val="22"/>
          <w:szCs w:val="22"/>
        </w:rPr>
        <w:t>lgs</w:t>
      </w:r>
      <w:proofErr w:type="spellEnd"/>
      <w:r>
        <w:rPr>
          <w:color w:val="auto"/>
          <w:sz w:val="22"/>
          <w:szCs w:val="22"/>
        </w:rPr>
        <w:t xml:space="preserve">. 118 del 23 giugno 2011 sono state create nuove disposizioni in materia di armonizzazione dei sistemi contabili e degli schemi di bilancio delle Regioni, degli Enti Locali e dei loro organismi; </w:t>
      </w:r>
    </w:p>
    <w:p w:rsidR="00802732" w:rsidRDefault="00802732" w:rsidP="00802732">
      <w:pPr>
        <w:pStyle w:val="Default"/>
        <w:jc w:val="both"/>
        <w:rPr>
          <w:color w:val="auto"/>
          <w:sz w:val="22"/>
          <w:szCs w:val="22"/>
        </w:rPr>
      </w:pPr>
      <w:r>
        <w:rPr>
          <w:color w:val="auto"/>
          <w:sz w:val="22"/>
          <w:szCs w:val="22"/>
        </w:rPr>
        <w:t xml:space="preserve">- in particolare il nuovo principio contabile concernente la programmazione di bilancio, allegato n. 4/1 al D. </w:t>
      </w:r>
      <w:proofErr w:type="spellStart"/>
      <w:r>
        <w:rPr>
          <w:color w:val="auto"/>
          <w:sz w:val="22"/>
          <w:szCs w:val="22"/>
        </w:rPr>
        <w:t>Lgs</w:t>
      </w:r>
      <w:proofErr w:type="spellEnd"/>
      <w:r>
        <w:rPr>
          <w:color w:val="auto"/>
          <w:sz w:val="22"/>
          <w:szCs w:val="22"/>
        </w:rPr>
        <w:t xml:space="preserve">. 118/2011, ha disciplinato il processo di programmazione dell’azione amministrativa degli enti locali prevedendo, tra gli strumenti di programmazione, il Documento Unico di Programmazione, di seguito DUP; </w:t>
      </w:r>
    </w:p>
    <w:p w:rsidR="00802732" w:rsidRDefault="00802732" w:rsidP="00802732">
      <w:pPr>
        <w:pStyle w:val="Default"/>
        <w:jc w:val="both"/>
        <w:rPr>
          <w:color w:val="auto"/>
          <w:sz w:val="22"/>
          <w:szCs w:val="22"/>
        </w:rPr>
      </w:pPr>
      <w:r>
        <w:rPr>
          <w:color w:val="auto"/>
          <w:sz w:val="22"/>
          <w:szCs w:val="22"/>
        </w:rPr>
        <w:t xml:space="preserve">- il DUP è lo strumento che permette l’attività di guida strategica ed operativa degli enti locali e consente di fronteggiare in modo permanente, sistemico e unitario le discontinuità ambientali ed organizzative; </w:t>
      </w:r>
    </w:p>
    <w:p w:rsidR="00802732" w:rsidRDefault="00802732" w:rsidP="00802732">
      <w:pPr>
        <w:pStyle w:val="Default"/>
        <w:jc w:val="both"/>
        <w:rPr>
          <w:color w:val="auto"/>
          <w:sz w:val="22"/>
          <w:szCs w:val="22"/>
        </w:rPr>
      </w:pPr>
      <w:r>
        <w:rPr>
          <w:color w:val="auto"/>
          <w:sz w:val="22"/>
          <w:szCs w:val="22"/>
        </w:rPr>
        <w:t xml:space="preserve">- il DUP costituisce, nel rispetto del principio del coordinamento e coerenza dei documenti di bilancio, il presupposto necessario di tutti gli altri documenti di programmazione; </w:t>
      </w:r>
    </w:p>
    <w:p w:rsidR="00802732" w:rsidRDefault="00802732" w:rsidP="00802732">
      <w:pPr>
        <w:pStyle w:val="Default"/>
        <w:jc w:val="both"/>
        <w:rPr>
          <w:color w:val="auto"/>
          <w:sz w:val="22"/>
          <w:szCs w:val="22"/>
        </w:rPr>
      </w:pPr>
      <w:r>
        <w:rPr>
          <w:color w:val="auto"/>
          <w:sz w:val="22"/>
          <w:szCs w:val="22"/>
        </w:rPr>
        <w:t>- il DUP si compone di due sezioni: la sezione strategica (</w:t>
      </w:r>
      <w:proofErr w:type="spellStart"/>
      <w:r>
        <w:rPr>
          <w:color w:val="auto"/>
          <w:sz w:val="22"/>
          <w:szCs w:val="22"/>
        </w:rPr>
        <w:t>SeS</w:t>
      </w:r>
      <w:proofErr w:type="spellEnd"/>
      <w:r>
        <w:rPr>
          <w:color w:val="auto"/>
          <w:sz w:val="22"/>
          <w:szCs w:val="22"/>
        </w:rPr>
        <w:t>) e la sezione operativa (</w:t>
      </w:r>
      <w:proofErr w:type="spellStart"/>
      <w:r>
        <w:rPr>
          <w:color w:val="auto"/>
          <w:sz w:val="22"/>
          <w:szCs w:val="22"/>
        </w:rPr>
        <w:t>SeO</w:t>
      </w:r>
      <w:proofErr w:type="spellEnd"/>
      <w:r>
        <w:rPr>
          <w:color w:val="auto"/>
          <w:sz w:val="22"/>
          <w:szCs w:val="22"/>
        </w:rPr>
        <w:t xml:space="preserve">). La prima ha un orizzonte temporale di riferimento pari a quello del mandato amministrativo, la seconda pari a quello del bilancio di previsione; </w:t>
      </w: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both"/>
        <w:rPr>
          <w:color w:val="auto"/>
          <w:sz w:val="22"/>
          <w:szCs w:val="22"/>
        </w:rPr>
      </w:pPr>
      <w:r>
        <w:rPr>
          <w:b/>
          <w:color w:val="auto"/>
          <w:sz w:val="22"/>
          <w:szCs w:val="22"/>
        </w:rPr>
        <w:t>VISTO</w:t>
      </w:r>
      <w:r>
        <w:rPr>
          <w:color w:val="auto"/>
          <w:sz w:val="22"/>
          <w:szCs w:val="22"/>
        </w:rPr>
        <w:t xml:space="preserve"> l’articolo 151, comma 1, del testo unico delle leggi sull’ordinamento degli enti locali (T.U.E.L.), approvato con decreto legislativo 18 agosto 2000, n. 267, il quale fissa al 31 luglio di ciascun anno il termine per la presentazione del DUP riferito ad un orizzonte temporale almeno triennale; </w:t>
      </w: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both"/>
        <w:rPr>
          <w:color w:val="auto"/>
          <w:sz w:val="22"/>
          <w:szCs w:val="22"/>
        </w:rPr>
      </w:pPr>
      <w:r>
        <w:rPr>
          <w:b/>
          <w:color w:val="auto"/>
          <w:sz w:val="22"/>
          <w:szCs w:val="22"/>
        </w:rPr>
        <w:t>CONSIDERATO</w:t>
      </w:r>
      <w:r>
        <w:rPr>
          <w:color w:val="auto"/>
          <w:sz w:val="22"/>
          <w:szCs w:val="22"/>
        </w:rPr>
        <w:t xml:space="preserve"> che il DUP è adottato dalla generalità degli enti locali per la prima volta nel 2015 con riferimento agli esercizi 2016 e successivi; </w:t>
      </w: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both"/>
        <w:rPr>
          <w:color w:val="auto"/>
          <w:sz w:val="22"/>
          <w:szCs w:val="22"/>
        </w:rPr>
      </w:pPr>
      <w:r>
        <w:rPr>
          <w:b/>
          <w:color w:val="auto"/>
          <w:sz w:val="22"/>
          <w:szCs w:val="22"/>
        </w:rPr>
        <w:t>RILEVATO</w:t>
      </w:r>
      <w:r>
        <w:rPr>
          <w:color w:val="auto"/>
          <w:sz w:val="22"/>
          <w:szCs w:val="22"/>
        </w:rPr>
        <w:t xml:space="preserve"> che l’approvazione del DUP da parte del Consiglio Comunale costituisce il presupposto per l’approvazion</w:t>
      </w:r>
      <w:r w:rsidR="003F4A07">
        <w:rPr>
          <w:color w:val="auto"/>
          <w:sz w:val="22"/>
          <w:szCs w:val="22"/>
        </w:rPr>
        <w:t>e del bilancio di previsione 2020</w:t>
      </w:r>
      <w:r>
        <w:rPr>
          <w:color w:val="auto"/>
          <w:sz w:val="22"/>
          <w:szCs w:val="22"/>
        </w:rPr>
        <w:t xml:space="preserve">; </w:t>
      </w: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both"/>
        <w:rPr>
          <w:color w:val="auto"/>
          <w:sz w:val="22"/>
          <w:szCs w:val="22"/>
        </w:rPr>
      </w:pPr>
      <w:r>
        <w:rPr>
          <w:b/>
          <w:color w:val="auto"/>
          <w:sz w:val="22"/>
          <w:szCs w:val="22"/>
        </w:rPr>
        <w:t>DATO ATTO</w:t>
      </w:r>
      <w:r>
        <w:rPr>
          <w:color w:val="auto"/>
          <w:sz w:val="22"/>
          <w:szCs w:val="22"/>
        </w:rPr>
        <w:t xml:space="preserve"> che lo schema di DUP allegato al presente atto contiene gli elementi minimi indicati nel principio di programmazione sopra richiamato; </w:t>
      </w: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both"/>
        <w:rPr>
          <w:color w:val="auto"/>
          <w:sz w:val="22"/>
          <w:szCs w:val="22"/>
        </w:rPr>
      </w:pPr>
      <w:r>
        <w:rPr>
          <w:b/>
          <w:color w:val="auto"/>
          <w:sz w:val="22"/>
          <w:szCs w:val="22"/>
        </w:rPr>
        <w:t>CONSIDERATO</w:t>
      </w:r>
      <w:r>
        <w:rPr>
          <w:color w:val="auto"/>
          <w:sz w:val="22"/>
          <w:szCs w:val="22"/>
        </w:rPr>
        <w:t xml:space="preserve"> che tutti i Responsabili di Servizio, sulla base delle indicazioni fornite dall’Organo Politico, sono stati coinvolti nella predisposizione del DUP e che lo stesso è coerente con le norme di finanza pubblica al momento vigenti; </w:t>
      </w: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both"/>
        <w:rPr>
          <w:color w:val="auto"/>
          <w:sz w:val="22"/>
          <w:szCs w:val="22"/>
        </w:rPr>
      </w:pPr>
      <w:r>
        <w:rPr>
          <w:b/>
          <w:color w:val="auto"/>
          <w:sz w:val="22"/>
          <w:szCs w:val="22"/>
        </w:rPr>
        <w:t xml:space="preserve">VISTO </w:t>
      </w:r>
      <w:r>
        <w:rPr>
          <w:color w:val="auto"/>
          <w:sz w:val="22"/>
          <w:szCs w:val="22"/>
        </w:rPr>
        <w:t xml:space="preserve">l’art. 48 del decreto legislativo 267/2000 “Competenze delle Giunte”; </w:t>
      </w: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both"/>
        <w:rPr>
          <w:color w:val="auto"/>
          <w:sz w:val="22"/>
          <w:szCs w:val="22"/>
        </w:rPr>
      </w:pPr>
      <w:r>
        <w:rPr>
          <w:b/>
          <w:color w:val="auto"/>
          <w:sz w:val="22"/>
          <w:szCs w:val="22"/>
        </w:rPr>
        <w:t>VISTO</w:t>
      </w:r>
      <w:r>
        <w:rPr>
          <w:color w:val="auto"/>
          <w:sz w:val="22"/>
          <w:szCs w:val="22"/>
        </w:rPr>
        <w:t xml:space="preserve"> il vigente Statuto comunale; </w:t>
      </w: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both"/>
        <w:rPr>
          <w:color w:val="auto"/>
          <w:sz w:val="22"/>
          <w:szCs w:val="22"/>
        </w:rPr>
      </w:pPr>
      <w:r>
        <w:rPr>
          <w:b/>
          <w:color w:val="auto"/>
          <w:sz w:val="22"/>
          <w:szCs w:val="22"/>
        </w:rPr>
        <w:t>ACQUISITI</w:t>
      </w:r>
      <w:r>
        <w:rPr>
          <w:color w:val="auto"/>
          <w:sz w:val="22"/>
          <w:szCs w:val="22"/>
        </w:rPr>
        <w:t xml:space="preserve"> i pareri favorevoli di regolarità tecnica e contabile di cui all’art. 49, comma 1, D.lgs. 18 agosto 2000 n. 267; </w:t>
      </w:r>
    </w:p>
    <w:p w:rsidR="00802732" w:rsidRDefault="00802732" w:rsidP="00802732">
      <w:pPr>
        <w:pStyle w:val="Default"/>
        <w:rPr>
          <w:color w:val="auto"/>
          <w:sz w:val="22"/>
          <w:szCs w:val="22"/>
        </w:rPr>
      </w:pPr>
    </w:p>
    <w:p w:rsidR="00802732" w:rsidRDefault="00802732" w:rsidP="00802732">
      <w:pPr>
        <w:pStyle w:val="Default"/>
        <w:rPr>
          <w:color w:val="auto"/>
          <w:sz w:val="22"/>
          <w:szCs w:val="22"/>
        </w:rPr>
      </w:pPr>
      <w:r>
        <w:rPr>
          <w:b/>
          <w:color w:val="auto"/>
          <w:sz w:val="22"/>
          <w:szCs w:val="22"/>
        </w:rPr>
        <w:t>CON VOTI</w:t>
      </w:r>
      <w:r>
        <w:rPr>
          <w:color w:val="auto"/>
          <w:sz w:val="22"/>
          <w:szCs w:val="22"/>
        </w:rPr>
        <w:t xml:space="preserve"> unanimi favorevoli resi nei modi e forme previsti dalla legge </w:t>
      </w:r>
    </w:p>
    <w:p w:rsidR="00802732" w:rsidRDefault="00802732" w:rsidP="00802732">
      <w:pPr>
        <w:pStyle w:val="Default"/>
        <w:rPr>
          <w:color w:val="auto"/>
          <w:sz w:val="22"/>
          <w:szCs w:val="22"/>
        </w:rPr>
      </w:pPr>
      <w:r>
        <w:rPr>
          <w:color w:val="auto"/>
          <w:sz w:val="22"/>
          <w:szCs w:val="22"/>
        </w:rPr>
        <w:t xml:space="preserve"> </w:t>
      </w: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both"/>
        <w:rPr>
          <w:color w:val="auto"/>
          <w:sz w:val="22"/>
          <w:szCs w:val="22"/>
        </w:rPr>
      </w:pP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center"/>
        <w:rPr>
          <w:b/>
          <w:color w:val="auto"/>
          <w:sz w:val="22"/>
          <w:szCs w:val="22"/>
        </w:rPr>
      </w:pPr>
      <w:r>
        <w:rPr>
          <w:b/>
          <w:color w:val="auto"/>
          <w:sz w:val="22"/>
          <w:szCs w:val="22"/>
        </w:rPr>
        <w:lastRenderedPageBreak/>
        <w:t>DELIBERA</w:t>
      </w:r>
    </w:p>
    <w:p w:rsidR="00802732" w:rsidRDefault="00802732" w:rsidP="00802732">
      <w:pPr>
        <w:pStyle w:val="Default"/>
        <w:jc w:val="both"/>
        <w:rPr>
          <w:color w:val="auto"/>
          <w:sz w:val="22"/>
          <w:szCs w:val="22"/>
        </w:rPr>
      </w:pPr>
      <w:r>
        <w:rPr>
          <w:color w:val="auto"/>
          <w:sz w:val="22"/>
          <w:szCs w:val="22"/>
        </w:rPr>
        <w:t xml:space="preserve"> </w:t>
      </w:r>
    </w:p>
    <w:p w:rsidR="00802732" w:rsidRDefault="00802732" w:rsidP="00802732">
      <w:pPr>
        <w:pStyle w:val="Default"/>
        <w:jc w:val="both"/>
        <w:rPr>
          <w:color w:val="auto"/>
          <w:sz w:val="22"/>
          <w:szCs w:val="22"/>
        </w:rPr>
      </w:pPr>
      <w:r>
        <w:rPr>
          <w:b/>
          <w:color w:val="auto"/>
          <w:sz w:val="22"/>
          <w:szCs w:val="22"/>
        </w:rPr>
        <w:t>1.</w:t>
      </w:r>
      <w:r>
        <w:rPr>
          <w:color w:val="auto"/>
          <w:sz w:val="22"/>
          <w:szCs w:val="22"/>
        </w:rPr>
        <w:t xml:space="preserve"> </w:t>
      </w:r>
      <w:r>
        <w:rPr>
          <w:b/>
          <w:color w:val="auto"/>
          <w:sz w:val="22"/>
          <w:szCs w:val="22"/>
        </w:rPr>
        <w:t>DI APPROVARE</w:t>
      </w:r>
      <w:r>
        <w:rPr>
          <w:color w:val="auto"/>
          <w:sz w:val="22"/>
          <w:szCs w:val="22"/>
        </w:rPr>
        <w:t xml:space="preserve"> il Documento Unico di Programmazio</w:t>
      </w:r>
      <w:r w:rsidR="003F4A07">
        <w:rPr>
          <w:color w:val="auto"/>
          <w:sz w:val="22"/>
          <w:szCs w:val="22"/>
        </w:rPr>
        <w:t xml:space="preserve">ne per gli anni </w:t>
      </w:r>
      <w:r>
        <w:rPr>
          <w:color w:val="auto"/>
          <w:sz w:val="22"/>
          <w:szCs w:val="22"/>
        </w:rPr>
        <w:t>2020-2021</w:t>
      </w:r>
      <w:r w:rsidR="003F4A07">
        <w:rPr>
          <w:color w:val="auto"/>
          <w:sz w:val="22"/>
          <w:szCs w:val="22"/>
        </w:rPr>
        <w:t>-2022</w:t>
      </w:r>
      <w:bookmarkStart w:id="0" w:name="_GoBack"/>
      <w:bookmarkEnd w:id="0"/>
      <w:r>
        <w:rPr>
          <w:color w:val="auto"/>
          <w:sz w:val="22"/>
          <w:szCs w:val="22"/>
        </w:rPr>
        <w:t xml:space="preserve">, allegato alla presente deliberazione per farne parte integrante e sostanziale, e di disporne la presentazione al Consiglio Comunale nei modi e termini previsti dalla vigente normativa di riferimento. </w:t>
      </w:r>
    </w:p>
    <w:p w:rsidR="00802732" w:rsidRDefault="00802732" w:rsidP="00802732">
      <w:pPr>
        <w:pStyle w:val="Default"/>
        <w:jc w:val="both"/>
        <w:rPr>
          <w:color w:val="auto"/>
          <w:sz w:val="22"/>
          <w:szCs w:val="22"/>
        </w:rPr>
      </w:pPr>
    </w:p>
    <w:p w:rsidR="00802732" w:rsidRDefault="00802732" w:rsidP="00802732">
      <w:pPr>
        <w:pStyle w:val="Default"/>
        <w:jc w:val="both"/>
        <w:rPr>
          <w:sz w:val="22"/>
          <w:szCs w:val="22"/>
        </w:rPr>
      </w:pPr>
      <w:r>
        <w:rPr>
          <w:b/>
          <w:color w:val="auto"/>
          <w:sz w:val="22"/>
          <w:szCs w:val="22"/>
        </w:rPr>
        <w:t>2. DI SOTTOPORRE</w:t>
      </w:r>
      <w:r>
        <w:rPr>
          <w:color w:val="auto"/>
          <w:sz w:val="22"/>
          <w:szCs w:val="22"/>
        </w:rPr>
        <w:t xml:space="preserve"> </w:t>
      </w:r>
      <w:r>
        <w:rPr>
          <w:sz w:val="22"/>
          <w:szCs w:val="22"/>
        </w:rPr>
        <w:t>la presente deliberazione all’organo di revisione economico finanziaria, ai fini dell’acquisizione del prescritto parere prima della presentazione al Consiglio Comunale.</w:t>
      </w:r>
    </w:p>
    <w:p w:rsidR="00802732" w:rsidRDefault="00802732" w:rsidP="00802732">
      <w:pPr>
        <w:pStyle w:val="Default"/>
        <w:jc w:val="both"/>
        <w:rPr>
          <w:sz w:val="22"/>
          <w:szCs w:val="22"/>
        </w:rPr>
      </w:pPr>
    </w:p>
    <w:p w:rsidR="00802732" w:rsidRDefault="00802732" w:rsidP="00802732">
      <w:pPr>
        <w:pStyle w:val="Default"/>
        <w:jc w:val="both"/>
        <w:rPr>
          <w:color w:val="auto"/>
          <w:sz w:val="22"/>
          <w:szCs w:val="22"/>
        </w:rPr>
      </w:pPr>
      <w:r>
        <w:rPr>
          <w:b/>
          <w:color w:val="auto"/>
          <w:sz w:val="22"/>
          <w:szCs w:val="22"/>
        </w:rPr>
        <w:t>3.</w:t>
      </w:r>
      <w:r>
        <w:rPr>
          <w:color w:val="auto"/>
          <w:sz w:val="22"/>
          <w:szCs w:val="22"/>
        </w:rPr>
        <w:t xml:space="preserve"> </w:t>
      </w:r>
      <w:r>
        <w:rPr>
          <w:b/>
          <w:color w:val="auto"/>
          <w:sz w:val="22"/>
          <w:szCs w:val="22"/>
        </w:rPr>
        <w:t>DI DICHIARARE</w:t>
      </w:r>
      <w:r>
        <w:rPr>
          <w:color w:val="auto"/>
          <w:sz w:val="22"/>
          <w:szCs w:val="22"/>
        </w:rPr>
        <w:t xml:space="preserve">, con successiva e separata votazione e con voti unanimi favorevoli resi nei modi e forme previsti dalla legge, la presente deliberazione immediatamente eseguibile ai sensi e per gli effetti dell’art. 134 </w:t>
      </w:r>
      <w:proofErr w:type="spellStart"/>
      <w:r>
        <w:rPr>
          <w:color w:val="auto"/>
          <w:sz w:val="22"/>
          <w:szCs w:val="22"/>
        </w:rPr>
        <w:t>u.c.</w:t>
      </w:r>
      <w:proofErr w:type="spellEnd"/>
      <w:r>
        <w:rPr>
          <w:color w:val="auto"/>
          <w:sz w:val="22"/>
          <w:szCs w:val="22"/>
        </w:rPr>
        <w:t xml:space="preserve"> D. </w:t>
      </w:r>
      <w:proofErr w:type="spellStart"/>
      <w:r>
        <w:rPr>
          <w:color w:val="auto"/>
          <w:sz w:val="22"/>
          <w:szCs w:val="22"/>
        </w:rPr>
        <w:t>Lgs</w:t>
      </w:r>
      <w:proofErr w:type="spellEnd"/>
      <w:r>
        <w:rPr>
          <w:color w:val="auto"/>
          <w:sz w:val="22"/>
          <w:szCs w:val="22"/>
        </w:rPr>
        <w:t xml:space="preserve">. 267/2000. </w:t>
      </w:r>
    </w:p>
    <w:p w:rsidR="0010682D" w:rsidRDefault="0010682D"/>
    <w:sectPr w:rsidR="0010682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732"/>
    <w:rsid w:val="0010682D"/>
    <w:rsid w:val="003F4A07"/>
    <w:rsid w:val="008027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02732"/>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02732"/>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2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498</Words>
  <Characters>2843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Comune di Mandello Vitta</Company>
  <LinksUpToDate>false</LinksUpToDate>
  <CharactersWithSpaces>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Giuliana Patrioli</dc:creator>
  <cp:lastModifiedBy>Giuliana Patrioli</cp:lastModifiedBy>
  <cp:revision>2</cp:revision>
  <dcterms:created xsi:type="dcterms:W3CDTF">2019-06-17T08:49:00Z</dcterms:created>
  <dcterms:modified xsi:type="dcterms:W3CDTF">2019-06-17T08:55:00Z</dcterms:modified>
</cp:coreProperties>
</file>